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Harborview Credit Union: Request for Proposal</w:t>
      </w:r>
    </w:p>
    <w:p>
      <w:r>
        <w:t>Customer Data Platform, RFP reference HCU-2026-014 (fictional)</w:t>
      </w:r>
    </w:p>
    <w:p>
      <w:pPr>
        <w:pStyle w:val="Heading1"/>
      </w:pPr>
      <w:r>
        <w:t>1. Instructions to Vendors</w:t>
      </w:r>
    </w:p>
    <w:p>
      <w:r>
        <w:t>Proposals must be submitted by 30 November 2026, 5pm Eastern, to procurement@harborview.example.</w:t>
      </w:r>
    </w:p>
    <w:p>
      <w:r>
        <w:t>Answer every question in sections 2 to 8. Where a word limit is stated, answers over the limit may not be scored.</w:t>
      </w:r>
    </w:p>
    <w:p>
      <w:pPr>
        <w:pStyle w:val="Heading1"/>
      </w:pPr>
      <w:r>
        <w:t>2. Company Information</w:t>
      </w:r>
    </w:p>
    <w:p>
      <w:r>
        <w:t>2.1 Provide an overview of your company, including year founded, number of employees and office locations. (Maximum 150 words)</w:t>
      </w:r>
    </w:p>
    <w:p>
      <w:r>
        <w:t>2.2 Provide three customer references from financial-services organisations, with contact details.</w:t>
      </w:r>
    </w:p>
    <w:p>
      <w:pPr>
        <w:pStyle w:val="Heading1"/>
      </w:pPr>
      <w:r>
        <w:t>3. Security</w:t>
      </w:r>
    </w:p>
    <w:p>
      <w:r>
        <w:t>3.1 MANDATORY: Describe how your solution supports single sign-on with our identity provider (Microsoft Entra ID) via SAML 2.0. (Maximum 100 words)</w:t>
      </w:r>
    </w:p>
    <w:p>
      <w:r>
        <w:t>3.2 MANDATORY: Does your solution support automatic user provisioning and de-provisioning via SCIM 2.0?</w:t>
      </w:r>
    </w:p>
    <w:p>
      <w:r>
        <w:t>3.3 Describe how customer data is encrypted at rest and in transit.</w:t>
      </w:r>
    </w:p>
    <w:p>
      <w:r>
        <w:t>3.4 Provide your most recent SOC 2 Type II report or describe your current certifications.</w:t>
      </w:r>
    </w:p>
    <w:p>
      <w:r>
        <w:t>3.5 How often is your platform penetration tested, and by whom?</w:t>
      </w:r>
    </w:p>
    <w:p>
      <w:pPr>
        <w:pStyle w:val="Heading1"/>
      </w:pPr>
      <w:r>
        <w:t>4. Data and Hosting</w:t>
      </w:r>
    </w:p>
    <w:p>
      <w:r>
        <w:t>4.1 MANDATORY: Where will our data be stored? Confirm whether data can be kept within the European Union.</w:t>
      </w:r>
    </w:p>
    <w:p>
      <w:r>
        <w:t>4.2 Describe your backup and disaster-recovery arrangements, including RPO and RTO.</w:t>
      </w:r>
    </w:p>
    <w:p>
      <w:r>
        <w:t>4.3 What happens to our data when the contract ends?</w:t>
      </w:r>
    </w:p>
    <w:p>
      <w:pPr>
        <w:pStyle w:val="Heading1"/>
      </w:pPr>
      <w:r>
        <w:t>5. Service and Support</w:t>
      </w:r>
    </w:p>
    <w:p>
      <w:r>
        <w:t>5.1 State your uptime commitment and what remedies apply if it is not met.</w:t>
      </w:r>
    </w:p>
    <w:p>
      <w:r>
        <w:t>5.2 Describe your support hours and channels, including for critical incidents.</w:t>
      </w:r>
    </w:p>
    <w:p>
      <w:r>
        <w:t>5.3 Describe your implementation approach and a typical timeline. (Maximum 120 words)</w:t>
      </w:r>
    </w:p>
    <w:p>
      <w:pPr>
        <w:pStyle w:val="Heading1"/>
      </w:pPr>
      <w:r>
        <w:t>6. Integration</w:t>
      </w:r>
    </w:p>
    <w:p>
      <w:r>
        <w:t>6.1 Describe the APIs and prebuilt connectors your platform provides.</w:t>
      </w:r>
    </w:p>
    <w:p>
      <w:r>
        <w:t>6.2 Can your platform ingest real-time transaction events from our core banking system (Jack Henry Symitar)?</w:t>
      </w:r>
    </w:p>
    <w:p>
      <w:pPr>
        <w:pStyle w:val="Heading1"/>
      </w:pPr>
      <w:r>
        <w:t>7. Pricing</w:t>
      </w:r>
    </w:p>
    <w:p>
      <w:r>
        <w:t>7.1 Provide a three-year pricing proposal, including implementation fees.</w:t>
      </w:r>
    </w:p>
    <w:p>
      <w:pPr>
        <w:pStyle w:val="Heading1"/>
      </w:pPr>
      <w:r>
        <w:t>8. Compliance Matrix</w:t>
      </w:r>
    </w:p>
    <w:p>
      <w:r>
        <w:t>Indicate compliance with each requirement below and add comments where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Compliant (Y/N)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8.1 The solution must provide role-based access control.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8.2 Audit logs must be retained for at least 12 months.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8.3 Multi-factor authentication must be enforced for all administrative access.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8.4 The vendor must notify us of any confirmed security breach within 72 hours.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