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Everlake Insurance Group</w:t>
      </w:r>
    </w:p>
    <w:p>
      <w:r>
        <w:t>RFP reference EIG-SEC-2025-21 · Submitted 2025-10-14 · Prepared by Larkspur Data Proposals Team (proposals@larkspurdata.example) · Fictional sample document</w:t>
      </w:r>
    </w:p>
    <w:p>
      <w:r>
        <w:t>Larkspur Data thanks you for the opportunity to respond. Our answers to each question follow, in the order of your request.</w:t>
      </w:r>
    </w:p>
    <w:p>
      <w:pPr>
        <w:pStyle w:val="Heading1"/>
      </w:pPr>
      <w:r>
        <w:t>Service</w:t>
      </w:r>
    </w:p>
    <w:p>
      <w:r>
        <w:t>Q1. What is your uptime guarantee?</w:t>
      </w:r>
    </w:p>
    <w:p>
      <w:r>
        <w:t>Response: We commit to 99.9% monthly uptime for production, with service credits if we miss it.</w:t>
      </w:r>
    </w:p>
    <w:p>
      <w:r>
        <w:t>Q2. What support hours do you offer?</w:t>
      </w:r>
    </w:p>
    <w:p>
      <w:r>
        <w:t>Response: Severity-1 incidents are handled around the clock; other requests are handled during business hours in your region through our portal and by email.</w:t>
      </w:r>
    </w:p>
    <w:p>
      <w:pPr>
        <w:pStyle w:val="Heading1"/>
      </w:pPr>
      <w:r>
        <w:t>Hosting</w:t>
      </w:r>
    </w:p>
    <w:p>
      <w:r>
        <w:t>Q3. Can data be kept within the European Union?</w:t>
      </w:r>
    </w:p>
    <w:p>
      <w:r>
        <w:t>Response: Yes. Customers can choose our EU region in Frankfurt (eu-central-1), and their data stays in that region.</w:t>
      </w:r>
    </w:p>
    <w:p>
      <w:pPr>
        <w:pStyle w:val="Heading1"/>
      </w:pPr>
      <w:r>
        <w:t>Delivery</w:t>
      </w:r>
    </w:p>
    <w:p>
      <w:r>
        <w:t>Q4. Describe your implementation approach and typical timeline.</w:t>
      </w:r>
    </w:p>
    <w:p>
      <w:r>
        <w:t>Response: A typical implementation takes 6 to 8 weeks in four phases: discovery (weeks 1-2), configuration and data connection (weeks 3-5), user acceptance testing (week 6), and go-live with two weeks of hypercare (weeks 7-8). A dedicated Larkspur implementation manager leads the project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