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Tidewell Regional Health</w:t>
      </w:r>
    </w:p>
    <w:p>
      <w:r>
        <w:t>RFP reference TRH-IT-2026-008 · Submitted 2026-03-03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Company</w:t>
      </w:r>
    </w:p>
    <w:p>
      <w:r>
        <w:t>Q1. Provide a brief overview of your company.</w:t>
      </w:r>
    </w:p>
    <w:p>
      <w:r>
        <w:t>Response: Larkspur Data was founded in 2019 and provides a cloud customer-data platform for regulated industries. We have approximately 240 employees across offices in Denver, USA and Dublin, Ireland, and serve more than 120 customers in banking, insurance and healthcare.</w:t>
      </w:r>
    </w:p>
    <w:p>
      <w:pPr>
        <w:pStyle w:val="Heading1"/>
      </w:pPr>
      <w:r>
        <w:t>Assurance</w:t>
      </w:r>
    </w:p>
    <w:p>
      <w:r>
        <w:t>Q2. Which security certifications and attestations do you hold?</w:t>
      </w:r>
    </w:p>
    <w:p>
      <w:r>
        <w:t>Response: Larkspur holds a SOC 2 Type II report covering 1 April 2025 to 31 March 2026, available under NDA, and is certified to ISO/IEC 27001:2022 (certificate issued October 2025).</w:t>
      </w:r>
    </w:p>
    <w:p>
      <w:r>
        <w:t>Q3. How often is the platform penetration tested, and by whom?</w:t>
      </w:r>
    </w:p>
    <w:p>
      <w:r>
        <w:t>Response: Ironbridge Security, an independent CREST-accredited firm, performs a full penetration test of the platform at least once a year, and we run automated external vulnerability scans every quarter. The executive summary of the latest test is available under NDA.</w:t>
      </w:r>
    </w:p>
    <w:p>
      <w:pPr>
        <w:pStyle w:val="Heading1"/>
      </w:pPr>
      <w:r>
        <w:t>Data protection</w:t>
      </w:r>
    </w:p>
    <w:p>
      <w:r>
        <w:t>Q4. Where will our data be hosted? Can it remain in the EU?</w:t>
      </w:r>
    </w:p>
    <w:p>
      <w:r>
        <w:t>Response: Larkspur is hosted on AWS. Each customer chooses the US region (us-east-1) or the EU region (eu-central-1, Frankfurt). Customer data, backups and logs stay in the chosen region.</w:t>
      </w:r>
    </w:p>
    <w:p>
      <w:r>
        <w:t>Q5. Is our data used to train AI models?</w:t>
      </w:r>
    </w:p>
    <w:p>
      <w:r>
        <w:t>Response: No. Customer data is never used to train AI models, ours or any third party's. Larkspur's AI-assisted features are off by default, can be enabled per workspace, and process data only within the customer's chosen hosting region.</w:t>
      </w:r>
    </w:p>
    <w:p>
      <w:pPr>
        <w:pStyle w:val="Heading1"/>
      </w:pPr>
      <w:r>
        <w:t>Implementation</w:t>
      </w:r>
    </w:p>
    <w:p>
      <w:r>
        <w:t>Q6. Describe your implementation approach and typical timeline.</w:t>
      </w:r>
    </w:p>
    <w:p>
      <w:r>
        <w:t>Response: A typical implementation takes 6 to 8 weeks in four phases: discovery (weeks 1-2), configuration and data connection (weeks 3-5), user acceptance testing (week 6), and go-live with two weeks of hypercare (weeks 7-8). A dedicated Larkspur implementation manager leads the project throughout.</w:t>
      </w:r>
    </w:p>
    <w:p>
      <w:pPr>
        <w:pStyle w:val="Heading1"/>
      </w:pPr>
      <w:r>
        <w:t>Security operations</w:t>
      </w:r>
    </w:p>
    <w:p>
      <w:r>
        <w:t>Q7. How long are audit logs retained?</w:t>
      </w:r>
    </w:p>
    <w:p>
      <w:r>
        <w:t>Response: Audit logs of user and administrator activity are retained for 12 months and can be exported through our REST API.</w:t>
      </w:r>
    </w:p>
    <w:p>
      <w:r>
        <w:t>Q8. How quickly will you notify us of a security breach?</w:t>
      </w:r>
    </w:p>
    <w:p>
      <w:r>
        <w:t>Response: We notify affected customers of a confirmed security breach involving their data within 72 hours of confirmation, through their named customer success manager and by email to their security contact.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