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Cobalt Insurance security and service questionnaire (fictional)</w:t>
      </w:r>
    </w:p>
    <w:p>
      <w:pPr>
        <w:pStyle w:val="Heading1"/>
      </w:pPr>
      <w:r>
        <w:t>Service levels</w:t>
      </w:r>
    </w:p>
    <w:p>
      <w:r>
        <w:t>SL-1 What availability do you guarantee, and what happens if you miss it?</w:t>
      </w:r>
    </w:p>
    <w:p>
      <w:r>
        <w:t>Response: We commit to 99.9% monthly availability. If we miss it, customers receive service credits of 10% of the monthly fee below 99.9% and 25% below 99.0%.</w:t>
      </w:r>
    </w:p>
    <w:p>
      <w:r>
        <w:t>SL-2 When and how can we reach support?</w:t>
      </w:r>
    </w:p>
    <w:p>
      <w:r>
        <w:t>Response: Severity-1 incidents are handled 24/7. Other requests are handled Monday to Friday, 8am-6pm in the customer's region, through our support portal or by email.</w:t>
      </w:r>
    </w:p>
    <w:p>
      <w:pPr>
        <w:pStyle w:val="Heading1"/>
      </w:pPr>
      <w:r>
        <w:t>Security</w:t>
      </w:r>
    </w:p>
    <w:p>
      <w:r>
        <w:t>SEC-3 Is data encrypted?</w:t>
      </w:r>
    </w:p>
    <w:p>
      <w:r>
        <w:t>Response: All data is encrypted in transit using TLS 1.1 or higher and at rest with AES-256.</w:t>
      </w:r>
    </w:p>
    <w:p>
      <w:r>
        <w:t>SEC-6 Describe backup and recovery.</w:t>
      </w:r>
    </w:p>
    <w:p>
      <w:r>
        <w:t>Response: Backups are taken daily, encrypted, kept for 35 days and replicated to a second region in the same geography. Our RPO is 1 hour and our RTO is 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