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838" w:rsidRDefault="00000000">
      <w:pPr>
        <w:pStyle w:val="Heading1"/>
      </w:pPr>
      <w:bookmarkStart w:id="0" w:name="X8fe80cbe29f7e67faa74650be92c2de6aa38cee"/>
      <w:r>
        <w:t>Pairs Trading Algorithm for Financial Markets: Logic, Inputs, and Outputs</w:t>
      </w:r>
    </w:p>
    <w:p w:rsidR="00CA5838" w:rsidRDefault="00000000">
      <w:pPr>
        <w:pStyle w:val="FirstParagraph"/>
      </w:pPr>
      <w:r>
        <w:t>The Pairs Trading Project is structured across four distinct phases, each implemented in a separate Jupyter notebook:</w:t>
      </w:r>
    </w:p>
    <w:p w:rsidR="00CA5838" w:rsidRDefault="00000000">
      <w:pPr>
        <w:pStyle w:val="Compact"/>
        <w:numPr>
          <w:ilvl w:val="0"/>
          <w:numId w:val="2"/>
        </w:numPr>
      </w:pPr>
      <w:r>
        <w:t>Identifying the Optimal Pair</w:t>
      </w:r>
    </w:p>
    <w:p w:rsidR="00CA5838" w:rsidRDefault="00000000">
      <w:pPr>
        <w:pStyle w:val="Compact"/>
        <w:numPr>
          <w:ilvl w:val="0"/>
          <w:numId w:val="2"/>
        </w:numPr>
      </w:pPr>
      <w:r>
        <w:t>Strategy Formulation</w:t>
      </w:r>
    </w:p>
    <w:p w:rsidR="00CA5838" w:rsidRDefault="00000000">
      <w:pPr>
        <w:pStyle w:val="Compact"/>
        <w:numPr>
          <w:ilvl w:val="0"/>
          <w:numId w:val="2"/>
        </w:numPr>
      </w:pPr>
      <w:r>
        <w:t>Strategy Back-testing</w:t>
      </w:r>
    </w:p>
    <w:p w:rsidR="00CA5838" w:rsidRDefault="00000000">
      <w:pPr>
        <w:pStyle w:val="Compact"/>
        <w:numPr>
          <w:ilvl w:val="0"/>
          <w:numId w:val="2"/>
        </w:numPr>
      </w:pPr>
      <w:r>
        <w:t>Risk Analysis</w:t>
      </w:r>
    </w:p>
    <w:p w:rsidR="00CA5838" w:rsidRDefault="00000000">
      <w:pPr>
        <w:pStyle w:val="FirstParagraph"/>
      </w:pPr>
      <w:r>
        <w:t>Each notebook corresponds to a crucial step in the project, facilitating a systematic approach to pairs trading strategy development. Below are the detailed descriptions of each phase:</w:t>
      </w:r>
    </w:p>
    <w:p w:rsidR="00CA5838" w:rsidRDefault="00FF118D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/>
        </w:pict>
      </w:r>
    </w:p>
    <w:p w:rsidR="00CA5838" w:rsidRDefault="00000000">
      <w:pPr>
        <w:pStyle w:val="Heading2"/>
      </w:pPr>
      <w:bookmarkStart w:id="1" w:name="X1de78f6180810cc1c25250f120801eecc9515a5"/>
      <w:r>
        <w:t>1. Identifying the Optimal Pair: “findingPair.ipynb”</w:t>
      </w:r>
    </w:p>
    <w:p w:rsidR="00CA5838" w:rsidRDefault="00000000">
      <w:pPr>
        <w:pStyle w:val="Heading3"/>
      </w:pPr>
      <w:bookmarkStart w:id="2" w:name="stock-selection"/>
      <w:r>
        <w:t>Stock Selection</w:t>
      </w:r>
    </w:p>
    <w:p w:rsidR="00CA583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Selection Process</w:t>
      </w:r>
      <w:r>
        <w:t>: The project commenced by selecting a comprehensive set of 200 stocks listed on the Bombay Stock Exchange (BSE).</w:t>
      </w:r>
    </w:p>
    <w:p w:rsidR="00CA583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Data Acquisition</w:t>
      </w:r>
      <w:r>
        <w:t>: Data was acquired from Yahoo Finance, covering a period from 2013 to 2023, ensuring a robust dataset for analysis.</w:t>
      </w:r>
    </w:p>
    <w:p w:rsidR="00CA5838" w:rsidRDefault="00000000">
      <w:pPr>
        <w:pStyle w:val="Heading3"/>
      </w:pPr>
      <w:bookmarkStart w:id="3" w:name="filtering"/>
      <w:bookmarkEnd w:id="2"/>
      <w:r>
        <w:t>Filtering</w:t>
      </w:r>
    </w:p>
    <w:p w:rsidR="00CA583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Loss-Making Stocks</w:t>
      </w:r>
      <w:r>
        <w:t>: Stocks demonstrating consistent losses throughout the decade were filtered out.</w:t>
      </w:r>
    </w:p>
    <w:p w:rsidR="00CA583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Rationale</w:t>
      </w:r>
      <w:r>
        <w:t>: This step was essential to align the strategy with potentially profitable outcomes even amid downturns, ensuring that only fundamentally strong stocks were considered.</w:t>
      </w:r>
    </w:p>
    <w:p w:rsidR="00CA5838" w:rsidRDefault="00000000">
      <w:pPr>
        <w:pStyle w:val="Heading3"/>
      </w:pPr>
      <w:bookmarkStart w:id="4" w:name="correlation-analysis"/>
      <w:bookmarkEnd w:id="3"/>
      <w:r>
        <w:t>Correlation Analysis</w:t>
      </w:r>
    </w:p>
    <w:p w:rsidR="00CA583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Identification of Pairs</w:t>
      </w:r>
      <w:r>
        <w:t>: Pairs of stocks with a correlation index exceeding 0.9 were identified. A high correlation indicates a strong relationship between the price movements of the two stocks.</w:t>
      </w:r>
    </w:p>
    <w:p w:rsidR="00CA583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Significance</w:t>
      </w:r>
      <w:r>
        <w:t>: This step ensures that the selected pairs have a tendency to move together, which is critical for the pairs trading strategy.</w:t>
      </w:r>
    </w:p>
    <w:p w:rsidR="00CA5838" w:rsidRDefault="00000000">
      <w:pPr>
        <w:pStyle w:val="Heading3"/>
      </w:pPr>
      <w:bookmarkStart w:id="5" w:name="cointegration-analysis"/>
      <w:bookmarkEnd w:id="4"/>
      <w:r>
        <w:t>Cointegration Analysis</w:t>
      </w:r>
    </w:p>
    <w:p w:rsidR="00CA583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Statistical Tests</w:t>
      </w:r>
      <w:r>
        <w:t xml:space="preserve">: Further analysis was conducted to identify correlated stocks exhibiting cointegration, using statistical tests </w:t>
      </w:r>
      <w:r w:rsidR="00D353FD">
        <w:t xml:space="preserve">named </w:t>
      </w:r>
      <w:r>
        <w:t xml:space="preserve">Engle-Granger </w:t>
      </w:r>
      <w:r w:rsidR="00D353FD">
        <w:t>test</w:t>
      </w:r>
      <w:r w:rsidR="00DD77BA">
        <w:t>.</w:t>
      </w:r>
    </w:p>
    <w:p w:rsidR="00CA583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Criteria</w:t>
      </w:r>
      <w:r>
        <w:t>: Cointegration was confirmed if the p-value was less than 0.05, ensuring the presence of mean reversion characteristics.</w:t>
      </w:r>
    </w:p>
    <w:p w:rsidR="00CA583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Importance</w:t>
      </w:r>
      <w:r>
        <w:t>: Cointegration ensures that despite short-term deviations, the prices of the stocks tend to revert to a long-term equilibrium, which is a key premise of pairs trading.</w:t>
      </w:r>
    </w:p>
    <w:p w:rsidR="00CA5838" w:rsidRDefault="00000000">
      <w:pPr>
        <w:pStyle w:val="Heading3"/>
      </w:pPr>
      <w:bookmarkStart w:id="6" w:name="optimal-pair-selection"/>
      <w:bookmarkEnd w:id="5"/>
      <w:r>
        <w:t>Optimal Pair Selection</w:t>
      </w:r>
    </w:p>
    <w:p w:rsidR="00CA583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Final Pair</w:t>
      </w:r>
      <w:r>
        <w:t>: After rigorous analysis, the optimal stock pair was determined to be “ZEELEARN.BO” and “GICRE.BO”.</w:t>
      </w:r>
    </w:p>
    <w:p w:rsidR="00CA583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Reasoning</w:t>
      </w:r>
      <w:r>
        <w:t>: These stocks exhibited strong correlation and cointegration, making them suitable for the pairs trading strategy.</w:t>
      </w:r>
    </w:p>
    <w:p w:rsidR="00CA5838" w:rsidRDefault="00FF118D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/>
        </w:pict>
      </w:r>
    </w:p>
    <w:p w:rsidR="00CA5838" w:rsidRDefault="00000000">
      <w:pPr>
        <w:pStyle w:val="Heading2"/>
      </w:pPr>
      <w:bookmarkStart w:id="7" w:name="X31426e8ccee5730c642d25770979d2ba70b4f78"/>
      <w:bookmarkEnd w:id="1"/>
      <w:bookmarkEnd w:id="6"/>
      <w:r>
        <w:t>2. Strategy Formulation: “pairTradingStrategy.ipynb”</w:t>
      </w:r>
    </w:p>
    <w:p w:rsidR="00CA5838" w:rsidRDefault="00000000">
      <w:pPr>
        <w:pStyle w:val="Heading3"/>
      </w:pPr>
      <w:bookmarkStart w:id="8" w:name="mean-reversion"/>
      <w:r>
        <w:t>Mean Reversion</w:t>
      </w:r>
    </w:p>
    <w:p w:rsidR="00CA583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Observation</w:t>
      </w:r>
      <w:r>
        <w:t>: Pronounced mean reversion trends were observed in the ratio graph of the stocks, indicating that the ratio of their prices frequently reverted to the mean.</w:t>
      </w:r>
    </w:p>
    <w:p w:rsidR="00CA583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Defining Characteristic</w:t>
      </w:r>
      <w:r>
        <w:t>: The ratio of the stocks was chosen as the defining characteristic for the strategy due to its mean-reverting nature.</w:t>
      </w:r>
    </w:p>
    <w:p w:rsidR="00CA5838" w:rsidRDefault="00000000">
      <w:pPr>
        <w:pStyle w:val="Heading3"/>
      </w:pPr>
      <w:bookmarkStart w:id="9" w:name="z-score-calculation"/>
      <w:bookmarkEnd w:id="8"/>
      <w:r>
        <w:t>Z-score Calculation</w:t>
      </w:r>
    </w:p>
    <w:p w:rsidR="00CA583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Purpose</w:t>
      </w:r>
      <w:r>
        <w:t>: The z-score of the ratio was computed to normalize the ratio and establish trading boundaries.</w:t>
      </w:r>
    </w:p>
    <w:p w:rsidR="00CA583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Formula</w:t>
      </w:r>
      <w:r>
        <w:t>: The z-score is calculated as (short-term moving average − long-term moving average) / standard deviation.</w:t>
      </w:r>
    </w:p>
    <w:p w:rsidR="00CA583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Interpretation</w:t>
      </w:r>
      <w:r>
        <w:t>: This z-score indicates how far the current price ratio deviates from its historical mean.</w:t>
      </w:r>
    </w:p>
    <w:p w:rsidR="00CA5838" w:rsidRDefault="00000000">
      <w:pPr>
        <w:pStyle w:val="Heading3"/>
      </w:pPr>
      <w:bookmarkStart w:id="10" w:name="strategy-development"/>
      <w:bookmarkEnd w:id="9"/>
      <w:r>
        <w:t>Strategy Development</w:t>
      </w:r>
    </w:p>
    <w:p w:rsidR="00CA5838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Trading Rules</w:t>
      </w:r>
      <w:r>
        <w:t>:</w:t>
      </w:r>
    </w:p>
    <w:p w:rsidR="00CA5838" w:rsidRDefault="00000000">
      <w:pPr>
        <w:pStyle w:val="Compact"/>
        <w:numPr>
          <w:ilvl w:val="1"/>
          <w:numId w:val="11"/>
        </w:numPr>
      </w:pPr>
      <w:r>
        <w:rPr>
          <w:b/>
          <w:bCs/>
        </w:rPr>
        <w:t>Long Position</w:t>
      </w:r>
      <w:r>
        <w:t>: If the z-score fell below -0.6, indicating a negative deviation from the mean, it signaled that ZEELEARN.BO was undervalued relative to GICRE.BO. The strategy involved taking a long position on ZEELEARN.BO and a short position on GICRE.BO.</w:t>
      </w:r>
    </w:p>
    <w:p w:rsidR="00CA5838" w:rsidRDefault="00000000">
      <w:pPr>
        <w:pStyle w:val="Compact"/>
        <w:numPr>
          <w:ilvl w:val="1"/>
          <w:numId w:val="11"/>
        </w:numPr>
      </w:pPr>
      <w:r>
        <w:rPr>
          <w:b/>
          <w:bCs/>
        </w:rPr>
        <w:t>Short Position</w:t>
      </w:r>
      <w:r>
        <w:t>: Conversely, if the z-score exceeded 0.6, suggesting a positive deviation from the mean, it implied that ZEELEARN.BO was overvalued relative to GICRE.BO. The strategy involved taking a short position on ZEELEARN.BO and a long position on GICRE.BO.</w:t>
      </w:r>
    </w:p>
    <w:p w:rsidR="00CA5838" w:rsidRDefault="00000000">
      <w:pPr>
        <w:pStyle w:val="Compact"/>
        <w:numPr>
          <w:ilvl w:val="1"/>
          <w:numId w:val="11"/>
        </w:numPr>
      </w:pPr>
      <w:r>
        <w:rPr>
          <w:b/>
          <w:bCs/>
        </w:rPr>
        <w:t>Exit Signal</w:t>
      </w:r>
      <w:r>
        <w:t>: An exit signal was triggered when the z-score approached 0.25, indicating that the ratio was close to its mean and it was time to close positions.</w:t>
      </w:r>
    </w:p>
    <w:p w:rsidR="00CA5838" w:rsidRDefault="00000000">
      <w:pPr>
        <w:pStyle w:val="Heading3"/>
      </w:pPr>
      <w:bookmarkStart w:id="11" w:name="user-parameters"/>
      <w:bookmarkEnd w:id="10"/>
      <w:r>
        <w:t>User Parameters</w:t>
      </w:r>
    </w:p>
    <w:p w:rsidR="00CA583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Customization</w:t>
      </w:r>
      <w:r>
        <w:t>:</w:t>
      </w:r>
    </w:p>
    <w:p w:rsidR="00CA5838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lastRenderedPageBreak/>
        <w:t>Window Sizes</w:t>
      </w:r>
      <w:r>
        <w:t>: Users could choose the window sizes for the short-term (window1) and long-term (window2) moving averages.</w:t>
      </w:r>
    </w:p>
    <w:p w:rsidR="00CA5838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Trading Frequency</w:t>
      </w:r>
      <w:r>
        <w:t>: Users could select the trading frequency (e.g., 1 day, 5 days, or 1 week), allowing them to tailor their trading approach according to their preferences.</w:t>
      </w:r>
    </w:p>
    <w:p w:rsidR="00CA5838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Parameter Details</w:t>
      </w:r>
      <w:r>
        <w:t>:</w:t>
      </w:r>
    </w:p>
    <w:p w:rsidR="00CA5838" w:rsidRDefault="00000000">
      <w:pPr>
        <w:pStyle w:val="Compact"/>
        <w:numPr>
          <w:ilvl w:val="2"/>
          <w:numId w:val="14"/>
        </w:numPr>
      </w:pPr>
      <w:r>
        <w:rPr>
          <w:b/>
          <w:bCs/>
        </w:rPr>
        <w:t>window1</w:t>
      </w:r>
      <w:r>
        <w:t>: Determines the window size for the short-term moving average (ma1), making it more responsive to recent price changes.</w:t>
      </w:r>
    </w:p>
    <w:p w:rsidR="00CA5838" w:rsidRDefault="00000000">
      <w:pPr>
        <w:pStyle w:val="Compact"/>
        <w:numPr>
          <w:ilvl w:val="2"/>
          <w:numId w:val="14"/>
        </w:numPr>
      </w:pPr>
      <w:r>
        <w:rPr>
          <w:b/>
          <w:bCs/>
        </w:rPr>
        <w:t>window2</w:t>
      </w:r>
      <w:r>
        <w:t>: Determines the window size for the long-term moving average (ma2) and the standard deviation (std), providing a broader perspective of the price trend.</w:t>
      </w:r>
    </w:p>
    <w:p w:rsidR="00CA5838" w:rsidRDefault="00FF118D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/>
        </w:pict>
      </w:r>
    </w:p>
    <w:p w:rsidR="00CA5838" w:rsidRDefault="00000000">
      <w:pPr>
        <w:pStyle w:val="Heading2"/>
      </w:pPr>
      <w:bookmarkStart w:id="12" w:name="strategy-back-testing-backtesting.ipynb"/>
      <w:bookmarkEnd w:id="7"/>
      <w:bookmarkEnd w:id="11"/>
      <w:r>
        <w:t>3. Strategy Back-testing: “backTesting.ipynb”</w:t>
      </w:r>
    </w:p>
    <w:p w:rsidR="00CA5838" w:rsidRDefault="00000000">
      <w:pPr>
        <w:pStyle w:val="Heading3"/>
      </w:pPr>
      <w:bookmarkStart w:id="13" w:name="performance-metrics"/>
      <w:r>
        <w:t>Performance Metrics</w:t>
      </w:r>
    </w:p>
    <w:p w:rsidR="00CA5838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Assessment Criteria</w:t>
      </w:r>
      <w:r>
        <w:t>: The strategy was assessed based on profitability, Sharpe ratio, volatility, and a comparative analysis of returns against the BSE index and NIFTY 50 returns.</w:t>
      </w:r>
    </w:p>
    <w:p w:rsidR="00CA5838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Key Metrics</w:t>
      </w:r>
      <w:r>
        <w:t>:</w:t>
      </w:r>
    </w:p>
    <w:p w:rsidR="00CA5838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Profitability</w:t>
      </w:r>
      <w:r>
        <w:t>: Measured the total returns generated by the strategy.</w:t>
      </w:r>
    </w:p>
    <w:p w:rsidR="00CA5838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Sharpe Ratio</w:t>
      </w:r>
      <w:r>
        <w:t>: Evaluated the risk-adjusted returns.</w:t>
      </w:r>
    </w:p>
    <w:p w:rsidR="00CA5838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Volatility</w:t>
      </w:r>
      <w:r>
        <w:t>: Assessed the risk associated with the strategy.</w:t>
      </w:r>
    </w:p>
    <w:p w:rsidR="00CA5838" w:rsidRDefault="00000000">
      <w:pPr>
        <w:pStyle w:val="Heading3"/>
      </w:pPr>
      <w:bookmarkStart w:id="14" w:name="testing-periods"/>
      <w:bookmarkEnd w:id="13"/>
      <w:r>
        <w:t>Testing Periods</w:t>
      </w:r>
    </w:p>
    <w:p w:rsidR="00CA5838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Time Frames</w:t>
      </w:r>
      <w:r>
        <w:t>: The strategy underwent rigorous testing over periods of 1, 3, and 5 years.</w:t>
      </w:r>
    </w:p>
    <w:p w:rsidR="00CA5838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Results</w:t>
      </w:r>
      <w:r>
        <w:t>: Consistent profitability was observed, with respectable Sharpe ratios and volatility metrics.</w:t>
      </w:r>
    </w:p>
    <w:p w:rsidR="00CA5838" w:rsidRDefault="00000000">
      <w:pPr>
        <w:pStyle w:val="Heading3"/>
      </w:pPr>
      <w:bookmarkStart w:id="15" w:name="stress-testing"/>
      <w:bookmarkEnd w:id="14"/>
      <w:r>
        <w:t>Stress Testing</w:t>
      </w:r>
    </w:p>
    <w:p w:rsidR="00CA5838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Market Conditions</w:t>
      </w:r>
      <w:r>
        <w:t>: The strategy was tested during both bullish (post-COVID recovery, 2022-23) and bearish (COVID pandemic, 2019-20) market conditions.</w:t>
      </w:r>
    </w:p>
    <w:p w:rsidR="00CA5838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Outcomes</w:t>
      </w:r>
      <w:r>
        <w:t>: Remarkably, the strategy remained profitable during these adversities, demonstrating its robustness.</w:t>
      </w:r>
    </w:p>
    <w:p w:rsidR="00CA5838" w:rsidRDefault="00000000">
      <w:pPr>
        <w:pStyle w:val="Heading3"/>
      </w:pPr>
      <w:bookmarkStart w:id="16" w:name="trading-frequencies"/>
      <w:bookmarkEnd w:id="15"/>
      <w:r>
        <w:t>Trading Frequencies</w:t>
      </w:r>
    </w:p>
    <w:p w:rsidR="00CA5838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Frequency Testing</w:t>
      </w:r>
      <w:r>
        <w:t>: Various trading frequencies were tested, including daily, weekly, and monthly trades.</w:t>
      </w:r>
    </w:p>
    <w:p w:rsidR="00CA5838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Findings</w:t>
      </w:r>
      <w:r>
        <w:t>: Each frequency yielded profitability, though returns varied, highlighting the flexibility of the strategy.</w:t>
      </w:r>
    </w:p>
    <w:p w:rsidR="00CA5838" w:rsidRDefault="00FF118D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/>
        </w:pict>
      </w:r>
    </w:p>
    <w:p w:rsidR="00CA5838" w:rsidRDefault="00000000">
      <w:pPr>
        <w:pStyle w:val="Heading2"/>
      </w:pPr>
      <w:bookmarkStart w:id="17" w:name="risk-analysis-riskprofiling.ipynb"/>
      <w:bookmarkEnd w:id="12"/>
      <w:bookmarkEnd w:id="16"/>
      <w:r>
        <w:lastRenderedPageBreak/>
        <w:t>4. Risk Analysis: “riskProfiling.ipynb”</w:t>
      </w:r>
    </w:p>
    <w:p w:rsidR="00CA5838" w:rsidRDefault="00000000">
      <w:pPr>
        <w:pStyle w:val="Heading3"/>
      </w:pPr>
      <w:bookmarkStart w:id="18" w:name="risk-profiles"/>
      <w:r>
        <w:t>Risk Profiles</w:t>
      </w:r>
    </w:p>
    <w:p w:rsidR="00CA5838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Flexibility</w:t>
      </w:r>
      <w:r>
        <w:t>: Three distinct risk profiles (low, medium, and high risk) were devised to offer users flexibility according to their risk tolerance.</w:t>
      </w:r>
    </w:p>
    <w:p w:rsidR="00CA5838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Profile Characteristics</w:t>
      </w:r>
      <w:r>
        <w:t>:</w:t>
      </w:r>
    </w:p>
    <w:p w:rsidR="00CA5838" w:rsidRDefault="00000000">
      <w:pPr>
        <w:pStyle w:val="Compact"/>
        <w:numPr>
          <w:ilvl w:val="1"/>
          <w:numId w:val="21"/>
        </w:numPr>
      </w:pPr>
      <w:r>
        <w:rPr>
          <w:b/>
          <w:bCs/>
        </w:rPr>
        <w:t>Low Risk</w:t>
      </w:r>
      <w:r>
        <w:t>: Conservative parameters with lower potential returns.</w:t>
      </w:r>
    </w:p>
    <w:p w:rsidR="00CA5838" w:rsidRDefault="00000000">
      <w:pPr>
        <w:pStyle w:val="Compact"/>
        <w:numPr>
          <w:ilvl w:val="1"/>
          <w:numId w:val="21"/>
        </w:numPr>
      </w:pPr>
      <w:r>
        <w:rPr>
          <w:b/>
          <w:bCs/>
        </w:rPr>
        <w:t>Medium Risk</w:t>
      </w:r>
      <w:r>
        <w:t>: Balanced parameters with moderate potential returns.</w:t>
      </w:r>
    </w:p>
    <w:p w:rsidR="00CA5838" w:rsidRDefault="00000000">
      <w:pPr>
        <w:pStyle w:val="Compact"/>
        <w:numPr>
          <w:ilvl w:val="1"/>
          <w:numId w:val="21"/>
        </w:numPr>
      </w:pPr>
      <w:r>
        <w:rPr>
          <w:b/>
          <w:bCs/>
        </w:rPr>
        <w:t>High Risk</w:t>
      </w:r>
      <w:r>
        <w:t>: Aggressive parameters with higher potential returns.</w:t>
      </w:r>
    </w:p>
    <w:p w:rsidR="00CA5838" w:rsidRDefault="00000000">
      <w:pPr>
        <w:pStyle w:val="Heading3"/>
      </w:pPr>
      <w:bookmarkStart w:id="19" w:name="profile-parameters"/>
      <w:bookmarkEnd w:id="18"/>
      <w:r>
        <w:t>Profile Parameters</w:t>
      </w:r>
    </w:p>
    <w:p w:rsidR="00CA5838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Parameters</w:t>
      </w:r>
      <w:r>
        <w:t>: These profiles were formulated based on diverse parameters, including moving average windows, trading frequencies, and z-score thresholds.</w:t>
      </w:r>
    </w:p>
    <w:p w:rsidR="00CA5838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Customization</w:t>
      </w:r>
      <w:r>
        <w:t>: Users can select a profile that aligns with their risk appetite and investment goals.</w:t>
      </w:r>
    </w:p>
    <w:p w:rsidR="00CA5838" w:rsidRDefault="00000000">
      <w:pPr>
        <w:pStyle w:val="Heading3"/>
      </w:pPr>
      <w:bookmarkStart w:id="20" w:name="profitability-analysis"/>
      <w:bookmarkEnd w:id="19"/>
      <w:r>
        <w:t>Profitability Analysis</w:t>
      </w:r>
    </w:p>
    <w:p w:rsidR="00CA5838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Back-testing</w:t>
      </w:r>
      <w:r>
        <w:t>: Back-testing across these profiles showed significant variability in profitability.</w:t>
      </w:r>
    </w:p>
    <w:p w:rsidR="00CA5838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Results</w:t>
      </w:r>
      <w:r>
        <w:t>:</w:t>
      </w:r>
    </w:p>
    <w:p w:rsidR="00CA5838" w:rsidRDefault="00000000">
      <w:pPr>
        <w:pStyle w:val="Compact"/>
        <w:numPr>
          <w:ilvl w:val="1"/>
          <w:numId w:val="24"/>
        </w:numPr>
      </w:pPr>
      <w:r>
        <w:rPr>
          <w:b/>
          <w:bCs/>
        </w:rPr>
        <w:t>High Risk Profile</w:t>
      </w:r>
      <w:r>
        <w:t>: Yielded the highest profit.</w:t>
      </w:r>
    </w:p>
    <w:p w:rsidR="00CA5838" w:rsidRDefault="00000000">
      <w:pPr>
        <w:pStyle w:val="Compact"/>
        <w:numPr>
          <w:ilvl w:val="1"/>
          <w:numId w:val="24"/>
        </w:numPr>
      </w:pPr>
      <w:r>
        <w:rPr>
          <w:b/>
          <w:bCs/>
        </w:rPr>
        <w:t>Low Risk Profile</w:t>
      </w:r>
      <w:r>
        <w:t>: Resulted in the lowest profit.</w:t>
      </w:r>
    </w:p>
    <w:p w:rsidR="00CA5838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Conclusion</w:t>
      </w:r>
      <w:r>
        <w:t>: This analysis allows users to choose a risk profile that suits their investment strategy.</w:t>
      </w:r>
      <w:bookmarkEnd w:id="0"/>
      <w:bookmarkEnd w:id="17"/>
      <w:bookmarkEnd w:id="20"/>
    </w:p>
    <w:sectPr w:rsidR="00CA58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18D" w:rsidRDefault="00FF118D">
      <w:pPr>
        <w:spacing w:after="0"/>
      </w:pPr>
      <w:r>
        <w:separator/>
      </w:r>
    </w:p>
  </w:endnote>
  <w:endnote w:type="continuationSeparator" w:id="0">
    <w:p w:rsidR="00FF118D" w:rsidRDefault="00FF11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18D" w:rsidRDefault="00FF118D">
      <w:r>
        <w:separator/>
      </w:r>
    </w:p>
  </w:footnote>
  <w:footnote w:type="continuationSeparator" w:id="0">
    <w:p w:rsidR="00FF118D" w:rsidRDefault="00FF1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50242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4489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5CA43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30216891">
    <w:abstractNumId w:val="0"/>
  </w:num>
  <w:num w:numId="2" w16cid:durableId="14264207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7010244">
    <w:abstractNumId w:val="1"/>
  </w:num>
  <w:num w:numId="4" w16cid:durableId="1704555946">
    <w:abstractNumId w:val="1"/>
  </w:num>
  <w:num w:numId="5" w16cid:durableId="1955214300">
    <w:abstractNumId w:val="1"/>
  </w:num>
  <w:num w:numId="6" w16cid:durableId="1091245358">
    <w:abstractNumId w:val="1"/>
  </w:num>
  <w:num w:numId="7" w16cid:durableId="758403743">
    <w:abstractNumId w:val="1"/>
  </w:num>
  <w:num w:numId="8" w16cid:durableId="514423282">
    <w:abstractNumId w:val="1"/>
  </w:num>
  <w:num w:numId="9" w16cid:durableId="1164511492">
    <w:abstractNumId w:val="1"/>
  </w:num>
  <w:num w:numId="10" w16cid:durableId="918908888">
    <w:abstractNumId w:val="1"/>
  </w:num>
  <w:num w:numId="11" w16cid:durableId="714088182">
    <w:abstractNumId w:val="1"/>
  </w:num>
  <w:num w:numId="12" w16cid:durableId="133714909">
    <w:abstractNumId w:val="1"/>
  </w:num>
  <w:num w:numId="13" w16cid:durableId="577397638">
    <w:abstractNumId w:val="1"/>
  </w:num>
  <w:num w:numId="14" w16cid:durableId="266697752">
    <w:abstractNumId w:val="1"/>
  </w:num>
  <w:num w:numId="15" w16cid:durableId="602806372">
    <w:abstractNumId w:val="1"/>
  </w:num>
  <w:num w:numId="16" w16cid:durableId="1872449141">
    <w:abstractNumId w:val="1"/>
  </w:num>
  <w:num w:numId="17" w16cid:durableId="209152013">
    <w:abstractNumId w:val="1"/>
  </w:num>
  <w:num w:numId="18" w16cid:durableId="713387214">
    <w:abstractNumId w:val="1"/>
  </w:num>
  <w:num w:numId="19" w16cid:durableId="1601404873">
    <w:abstractNumId w:val="1"/>
  </w:num>
  <w:num w:numId="20" w16cid:durableId="629937177">
    <w:abstractNumId w:val="1"/>
  </w:num>
  <w:num w:numId="21" w16cid:durableId="1496649695">
    <w:abstractNumId w:val="1"/>
  </w:num>
  <w:num w:numId="22" w16cid:durableId="243564246">
    <w:abstractNumId w:val="1"/>
  </w:num>
  <w:num w:numId="23" w16cid:durableId="1334726261">
    <w:abstractNumId w:val="1"/>
  </w:num>
  <w:num w:numId="24" w16cid:durableId="145097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838"/>
    <w:rsid w:val="00367CF4"/>
    <w:rsid w:val="00C70EF5"/>
    <w:rsid w:val="00CA5838"/>
    <w:rsid w:val="00D353FD"/>
    <w:rsid w:val="00DD77BA"/>
    <w:rsid w:val="00F86544"/>
    <w:rsid w:val="00F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796"/>
  <w15:docId w15:val="{7B708882-77C7-3C4B-9513-65A86B0B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Aryan Laroia</cp:lastModifiedBy>
  <cp:revision>3</cp:revision>
  <dcterms:created xsi:type="dcterms:W3CDTF">2024-05-28T15:23:00Z</dcterms:created>
  <dcterms:modified xsi:type="dcterms:W3CDTF">2024-05-28T15:26:00Z</dcterms:modified>
</cp:coreProperties>
</file>