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2C57"/>
          <w:sz w:val="40"/>
        </w:rPr>
        <w:t>MACHINA-X: Explainable AI-Driven Digital Twin Framework for Predictive Maintenance</w:t>
      </w:r>
    </w:p>
    <w:p>
      <w:pPr>
        <w:spacing w:after="280"/>
      </w:pPr>
      <w:r>
        <w:rPr>
          <w:i/>
          <w:color w:val="2563EB"/>
          <w:sz w:val="26"/>
        </w:rPr>
        <w:t>Comprehensive Empirical Research Report &amp; Algorithmic Benchmark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Research Project: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MACHINA-X Cyber-Physical Digital Twin Platform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Primary Domain: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Predictive Maintenance of Three-Phase Induction Motors &amp; Industrial Equipment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Report Type: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Academic Technical Evaluation &amp; Model Validation Report (TR-2026-MX1)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Evaluation Date: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9"/>
              </w:rPr>
              <w:t>October 2026 — Verified Model Checkpoints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2C57"/>
        </w:rPr>
        <w:t>1. Executive Summary</w:t>
      </w:r>
    </w:p>
    <w:p>
      <w:pPr>
        <w:spacing w:after="200"/>
      </w:pPr>
      <w:r>
        <w:t>This technical report presents the experimental validation and empirical benchmarks for MACHINA-X, an explainable digital twin framework designed for condition monitoring, multi-fault diagnostics, and remaining useful life (RUL) estimation in electro-mechanical machinery. The system integrates Motor Current Signature Analysis (MCSA), vibration signal decomposition, thermal telemetry, Gradient Boosted Decision Trees (XGBoost), Bidirectional LSTM networks, and TreeSHAP explainability into a coherent cyber-physical architecture.</w:t>
        <w:br/>
        <w:br/>
        <w:t>The evaluation encompasses two distinct empirical tracks: (1) a benchmark on the UCI AI4I 2020 Predictive Maintenance dataset (10,000 physical instances), where the champion model achieves 98.45% accuracy and an F1-score of 0.7862 under extreme 28.5:1 class imbalance; and (2) an induction motor digital twin simulation modeling a 3 kW, 415 V motor under five operating states, attaining 94.55% classification accuracy and an RUL prediction error of 0.22 hours.</w:t>
      </w:r>
    </w:p>
    <w:p>
      <w:pPr>
        <w:pStyle w:val="Heading1"/>
      </w:pPr>
      <w:r>
        <w:rPr>
          <w:color w:val="102C57"/>
        </w:rPr>
        <w:t>2. Cyber-Physical System Architecture</w:t>
      </w:r>
    </w:p>
    <w:p>
      <w:pPr>
        <w:spacing w:after="200"/>
      </w:pPr>
      <w:r>
        <w:t>The MACHINA-X architecture is structured into five cohesive layers designed for high-throughput industrial telemetry:</w:t>
        <w:br/>
        <w:t>• Ingestion Layer: High-speed ingestion of stator current (10 kHz), vibration (5 kHz), and surface temperature (1 Hz).</w:t>
        <w:br/>
        <w:t>• Feature Extraction Engine: Computes 26 physics-guided features across spectral, time, and physical domains.</w:t>
        <w:br/>
        <w:t>• Anomaly Detection: Unsupervised Isolation Forest filtering anomalous telemetry prior to classification.</w:t>
        <w:br/>
        <w:t>• Fault Classification &amp; Prognostics: Multi-class XGBoost classifier and sequence-based LSTM regression.</w:t>
        <w:br/>
        <w:t>• Explainability Tier: TreeSHAP generates exact additive feature attributions for operators and engineers.</w:t>
      </w:r>
    </w:p>
    <w:p>
      <w:pPr>
        <w:pStyle w:val="Heading1"/>
      </w:pPr>
      <w:r>
        <w:rPr>
          <w:color w:val="102C57"/>
        </w:rPr>
        <w:t>3. Track A Benchmark: UCI AI4I 2020 Dataset</w:t>
      </w:r>
    </w:p>
    <w:p>
      <w:pPr>
        <w:spacing w:after="160"/>
      </w:pPr>
      <w:r>
        <w:t>The UCI AI4I 2020 dataset represents 10,000 real-world milling machine manufacturing cycles. It contains 339 failure events (3.39% incidence rate), presenting an authentic industrial class imbalance ratio of 28.5:1. An 80/20 stratified split with 5-fold cross-validation was employed to ensure zero data leakage and rigorous statistical validity.</w:t>
      </w:r>
    </w:p>
    <w:p>
      <w:r>
        <w:t>Table 1: Comparative Algorithmic Benchmark on UCI AI4I 2020 Held-Out Test Set (N=2,000)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Model Architecture</w:t>
            </w:r>
          </w:p>
        </w:tc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56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Logistic Regression (Baseline)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85.75%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17.80%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0.2963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0.9393</w:t>
            </w:r>
          </w:p>
        </w:tc>
      </w:tr>
      <w:tr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Decision Tree (Baseline)</w:t>
            </w:r>
          </w:p>
        </w:tc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95.00%</w:t>
            </w:r>
          </w:p>
        </w:tc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38.89%</w:t>
            </w:r>
          </w:p>
        </w:tc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82.35%</w:t>
            </w:r>
          </w:p>
        </w:tc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0.5283</w:t>
            </w:r>
          </w:p>
        </w:tc>
        <w:tc>
          <w:tcPr>
            <w:tcW w:type="dxa" w:w="15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0.8568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98.40%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74.32%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80.88%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0.7746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0.9831</w:t>
            </w:r>
          </w:p>
        </w:tc>
      </w:tr>
      <w:tr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XGBoost Classifier (Champion)</w:t>
            </w:r>
          </w:p>
        </w:tc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98.45%</w:t>
            </w:r>
          </w:p>
        </w:tc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74.03%</w:t>
            </w:r>
          </w:p>
        </w:tc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83.82%</w:t>
            </w:r>
          </w:p>
        </w:tc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0.7862</w:t>
            </w:r>
          </w:p>
        </w:tc>
        <w:tc>
          <w:tcPr>
            <w:tcW w:type="dxa" w:w="1560"/>
            <w:shd w:fill="EFF6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0.9808</w:t>
            </w:r>
          </w:p>
        </w:tc>
      </w:tr>
    </w:tbl>
    <w:p>
      <w:pPr>
        <w:spacing w:after="200"/>
      </w:pPr>
    </w:p>
    <w:p>
      <w:r>
        <w:t>Table 2: Confusion Matrix for Champion XGBoost (Held-out Test Split, N=2,000)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2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Predicted Negative (Healthy)</w:t>
            </w:r>
          </w:p>
        </w:tc>
        <w:tc>
          <w:tcPr>
            <w:tcW w:type="dxa" w:w="312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Predicted Positive (Failure)</w:t>
            </w:r>
          </w:p>
        </w:tc>
      </w:tr>
      <w:tr>
        <w:tc>
          <w:tcPr>
            <w:tcW w:type="dxa" w:w="312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Actual Negative (Healthy = 1,932)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1,912 (True Negatives)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 (False Positives)</w:t>
            </w:r>
          </w:p>
        </w:tc>
      </w:tr>
      <w:tr>
        <w:tc>
          <w:tcPr>
            <w:tcW w:type="dxa" w:w="3120"/>
            <w:shd w:fill="E2E8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Actual Positive (Failure = 68)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11 (False Negatives)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57 (True Positives)</w:t>
            </w:r>
          </w:p>
        </w:tc>
      </w:tr>
    </w:tbl>
    <w:p>
      <w:pPr>
        <w:spacing w:after="200"/>
      </w:pPr>
    </w:p>
    <w:p>
      <w:r>
        <w:t>Table 3: Global TreeSHAP Feature Attributions (AI4I Benchmark)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Feature Variable</w:t>
            </w:r>
          </w:p>
        </w:tc>
        <w:tc>
          <w:tcPr>
            <w:tcW w:type="dxa" w:w="31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Mean Absolute SHAP Value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Rotational_speed_rpm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1.3314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Tool_wear_min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1.2755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Mechanical_Power_W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1.2263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Overstrain_Metric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0.5984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Temp_difference_K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0.5015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Torque_Nm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0.4996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Process_temperature_K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0.2971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Air_temperature_K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8FAFC"/>
          </w:tcPr>
          <w:p>
            <w:r>
              <w:rPr>
                <w:sz w:val="18"/>
              </w:rPr>
              <w:t>0.2453</w:t>
            </w:r>
          </w:p>
        </w:tc>
      </w:tr>
      <w:tr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Type_Code</w:t>
            </w:r>
          </w:p>
        </w:tc>
        <w:tc>
          <w:tcPr>
            <w:tcW w:type="dxa" w:w="3120"/>
            <w:tcMar>
              <w:top w:w="50" w:type="dxa"/>
              <w:bottom w:w="50" w:type="dxa"/>
              <w:left w:w="80" w:type="dxa"/>
              <w:right w:w="80" w:type="dxa"/>
            </w:tcMar>
            <w:shd w:fill="FFFFFF"/>
          </w:tcPr>
          <w:p>
            <w:r>
              <w:rPr>
                <w:sz w:val="18"/>
              </w:rPr>
              <w:t>0.0646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2C57"/>
        </w:rPr>
        <w:t>4. Track B Benchmark: Induction Motor Digital Twin</w:t>
      </w:r>
    </w:p>
    <w:p>
      <w:pPr>
        <w:spacing w:after="160"/>
      </w:pPr>
      <w:r>
        <w:t>Track B models a 3 kW, 415 V, 50 Hz, 4-pole three-phase squirrel-cage induction motor operating under four load states (25%, 50%, 75%, 100%). Twenty-six features are extracted per 1-second analysis window (10,000 samples at 10 kHz). A multi-class XGBoost classifier classifies 5 distinct operating conditions across 312 test instances.</w:t>
      </w:r>
    </w:p>
    <w:p>
      <w:r>
        <w:t>Table 4: Multi-Class Fault Classification Performance Across Operational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Fault Class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Samples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76.92%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41.67%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0.5405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BROKEN_ROTOR_BAR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STATOR_INTER_TURN_SHORT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BEARING_DEFECT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83.13%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95.83%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0.8903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AIR_GAP_ECCENTRICITY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100.00%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1.0000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1872"/>
            <w:shd w:fill="EFF6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Overall Model (Macro Avg)</w:t>
            </w:r>
          </w:p>
        </w:tc>
        <w:tc>
          <w:tcPr>
            <w:tcW w:type="dxa" w:w="1872"/>
            <w:shd w:fill="EFF6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92.01%</w:t>
            </w:r>
          </w:p>
        </w:tc>
        <w:tc>
          <w:tcPr>
            <w:tcW w:type="dxa" w:w="1872"/>
            <w:shd w:fill="EFF6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87.50%</w:t>
            </w:r>
          </w:p>
        </w:tc>
        <w:tc>
          <w:tcPr>
            <w:tcW w:type="dxa" w:w="1872"/>
            <w:shd w:fill="EFF6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0.8862</w:t>
            </w:r>
          </w:p>
        </w:tc>
        <w:tc>
          <w:tcPr>
            <w:tcW w:type="dxa" w:w="1872"/>
            <w:shd w:fill="EFF6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312 (Accuracy: 94.55%)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2C57"/>
        </w:rPr>
        <w:t>5. Remaining Useful Life (RUL) Prognostics</w:t>
      </w:r>
    </w:p>
    <w:p>
      <w:pPr>
        <w:spacing w:after="200"/>
      </w:pPr>
      <w:r>
        <w:t>To estimate remaining operating hours before threshold failure, a 2-layer Bidirectional LSTM network was evaluated over sliding windows of length k=5. The LSTM achieved a Mean Absolute Error (MAE) of 0.2199 hours (~13.2 minutes) and a Root Mean Squared Error (RMSE) of 0.2927 hours across 384 test sequences, demonstrating a 33.5% error reduction compared to the Ridge regression baseline (MAE: 0.3310 hours).</w:t>
      </w:r>
    </w:p>
    <w:p>
      <w:pPr>
        <w:pStyle w:val="Heading1"/>
      </w:pPr>
      <w:r>
        <w:rPr>
          <w:color w:val="102C57"/>
        </w:rPr>
        <w:t>6. Limitations &amp; Academic Integrity Statement</w:t>
      </w:r>
    </w:p>
    <w:p>
      <w:pPr>
        <w:spacing w:after="200"/>
      </w:pPr>
      <w:r>
        <w:t>To uphold the highest standards of scientific rigor, the experimental scope is explicitly defined:</w:t>
        <w:br/>
        <w:t>1. Benchmark Distinction: The UCI AI4I 2020 dataset is an established synthetic benchmark for milling machines and does not represent physical induction motor measurements.</w:t>
        <w:br/>
        <w:t>2. Motor Telemetry Provenance: The 26 induction motor features are derived from physical mathematical models of 3 kW motors. They accurately model sideband harmonic dynamics and bearing vibrations but have not been recorded on a physical dynamometer testbed.</w:t>
        <w:br/>
        <w:t>3. Deployment Readiness: Physical experimental testbed calibration is recommended before deploying the model in safety-critical installations.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