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b/>
          <w:color w:val="102C57"/>
          <w:sz w:val="38"/>
        </w:rPr>
        <w:t>MACHINA-X: Explainable AI-Driven Digital Twin Framework for Predictive Maintenance</w:t>
      </w:r>
    </w:p>
    <w:p>
      <w:pPr>
        <w:spacing w:after="240"/>
      </w:pPr>
      <w:r>
        <w:rPr>
          <w:i/>
          <w:color w:val="2563EB"/>
          <w:sz w:val="24"/>
        </w:rPr>
        <w:t>Comprehensive Empirical Research Report, Benchmark Evaluation &amp; Robustness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8"/>
              </w:rPr>
              <w:t>Research Project:</w:t>
            </w:r>
          </w:p>
        </w:tc>
        <w:tc>
          <w:tcPr>
            <w:tcW w:type="dxa" w:w="46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8"/>
              </w:rPr>
              <w:t>MACHINA-X Cyber-Physical Digital Twin Platform</w:t>
            </w:r>
          </w:p>
        </w:tc>
      </w:tr>
      <w:tr>
        <w:tc>
          <w:tcPr>
            <w:tcW w:type="dxa" w:w="4680"/>
            <w:shd w:fill="F1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8"/>
              </w:rPr>
              <w:t>Primary Domain:</w:t>
            </w:r>
          </w:p>
        </w:tc>
        <w:tc>
          <w:tcPr>
            <w:tcW w:type="dxa" w:w="46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8"/>
              </w:rPr>
              <w:t>Predictive Maintenance of Three-Phase Induction Motors &amp; Industrial Equipment</w:t>
            </w:r>
          </w:p>
        </w:tc>
      </w:tr>
      <w:tr>
        <w:tc>
          <w:tcPr>
            <w:tcW w:type="dxa" w:w="4680"/>
            <w:shd w:fill="F1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8"/>
              </w:rPr>
              <w:t>Investigating Authors:</w:t>
            </w:r>
          </w:p>
        </w:tc>
        <w:tc>
          <w:tcPr>
            <w:tcW w:type="dxa" w:w="46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8"/>
              </w:rPr>
              <w:t>Aditya Gupta, Aditya Maurya, Ananya Sharma, Aryan Mishra (Supervisor: Ms. Monika Sharma)</w:t>
            </w:r>
          </w:p>
        </w:tc>
      </w:tr>
      <w:tr>
        <w:tc>
          <w:tcPr>
            <w:tcW w:type="dxa" w:w="4680"/>
            <w:shd w:fill="F1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8"/>
              </w:rPr>
              <w:t>Report Classification:</w:t>
            </w:r>
          </w:p>
        </w:tc>
        <w:tc>
          <w:tcPr>
            <w:tcW w:type="dxa" w:w="46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8"/>
              </w:rPr>
              <w:t>Academic Technical Evaluation &amp; Model Validation Report (TR-2026-MX1)</w:t>
            </w:r>
          </w:p>
        </w:tc>
      </w:tr>
      <w:tr>
        <w:tc>
          <w:tcPr>
            <w:tcW w:type="dxa" w:w="4680"/>
            <w:shd w:fill="F1F5F9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1E293B"/>
                <w:sz w:val="18"/>
              </w:rPr>
              <w:t>Evaluation Checkpoints:</w:t>
            </w:r>
          </w:p>
        </w:tc>
        <w:tc>
          <w:tcPr>
            <w:tcW w:type="dxa" w:w="46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1E293B"/>
                <w:sz w:val="18"/>
              </w:rPr>
              <w:t>Python 3.10.0 · Host: AMD Ryzen 5 4600H with Radeon Graphics · Verified Checkpoints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02C57"/>
        </w:rPr>
        <w:t>1. Executive Summary</w:t>
      </w:r>
    </w:p>
    <w:p>
      <w:pPr>
        <w:spacing w:after="160"/>
      </w:pPr>
      <w:r>
        <w:t>This technical report presents the experimental validation and empirical benchmarks for MACHINA-X, an explainable digital twin framework designed for condition monitoring, multi-fault diagnostics, and remaining useful life (RUL) estimation in electro-mechanical machinery. The system integrates Motor Current Signature Analysis (MCSA), vibration signal decomposition, thermal telemetry, Gradient Boosted Decision Trees (XGBoost), Bidirectional/LSTM networks, and TreeSHAP explainability into a coherent cyber-physical architecture.</w:t>
        <w:br/>
        <w:br/>
        <w:t>The evaluation encompasses two distinct empirical tracks: (1) a benchmark on the UCI AI4I 2020 Predictive Maintenance dataset (10,000 synthetic milling-machine instances, Stephan Matzka, 2020), where the champion model achieves 98.45% accuracy and an F1-score of 0.7862 under extreme 28.5:1 class imbalance; and (2) an induction motor digital twin simulation modeling a 3 kW, 415 V motor under five operating states, attaining 94.55% classification accuracy across 312 windows from 52 held-out runs and an RUL prediction error of 0.22 hours across 4 held-out degradation trajectories.</w:t>
      </w:r>
    </w:p>
    <w:p>
      <w:pPr>
        <w:pStyle w:val="Heading1"/>
      </w:pPr>
      <w:r>
        <w:rPr>
          <w:color w:val="102C57"/>
        </w:rPr>
        <w:t>2. Verified Model Hyperparameters</w:t>
      </w:r>
    </w:p>
    <w:p>
      <w:pPr>
        <w:spacing w:after="160"/>
      </w:pPr>
      <w:r>
        <w:t>To prevent documentation drift, model hyperparameters are audited directly from training checkpoints:</w:t>
        <w:br/>
        <w:t>• Stage 1 (Anomaly Detector): Isolation Forest with 150 estimators, contamination=0.05.</w:t>
        <w:br/>
        <w:t>• Stage 2 (Fault Classifier): XGBoost with 120 estimators, learning rate=0.08, max depth=5, subsample=0.85.</w:t>
        <w:br/>
        <w:t>• Stage 3 (RUL Prognostics): Unidirectional 2-layer LSTM sequence regressor with 32 hidden units, dropout=0.1, learning rate=0.005 (Adam), trained over 40 epochs (batch size 32) on sequences of length k=5.</w:t>
      </w:r>
    </w:p>
    <w:p>
      <w:pPr>
        <w:pStyle w:val="Heading1"/>
      </w:pPr>
      <w:r>
        <w:rPr>
          <w:color w:val="102C57"/>
        </w:rPr>
        <w:t>3. Track A Benchmark: UCI AI4I 2020 Dataset</w:t>
      </w:r>
    </w:p>
    <w:p>
      <w:r>
        <w:t>Table 1: Comparative Algorithmic Benchmark on UCI AI4I 2020 Held-Out Test Set (N=2,000)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Model Architecture</w:t>
            </w:r>
          </w:p>
        </w:tc>
        <w:tc>
          <w:tcPr>
            <w:tcW w:type="dxa" w:w="1560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Accuracy</w:t>
            </w:r>
          </w:p>
        </w:tc>
        <w:tc>
          <w:tcPr>
            <w:tcW w:type="dxa" w:w="1560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Precision</w:t>
            </w:r>
          </w:p>
        </w:tc>
        <w:tc>
          <w:tcPr>
            <w:tcW w:type="dxa" w:w="1560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Recall</w:t>
            </w:r>
          </w:p>
        </w:tc>
        <w:tc>
          <w:tcPr>
            <w:tcW w:type="dxa" w:w="1560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F1-Score</w:t>
            </w:r>
          </w:p>
        </w:tc>
        <w:tc>
          <w:tcPr>
            <w:tcW w:type="dxa" w:w="1560"/>
            <w:shd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ROC-AUC</w:t>
            </w:r>
          </w:p>
        </w:tc>
      </w:tr>
      <w:tr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Logistic Regression (Baseline)</w:t>
            </w:r>
          </w:p>
        </w:tc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85.75%</w:t>
            </w:r>
          </w:p>
        </w:tc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17.80%</w:t>
            </w:r>
          </w:p>
        </w:tc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88.24%</w:t>
            </w:r>
          </w:p>
        </w:tc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0.2963</w:t>
            </w:r>
          </w:p>
        </w:tc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0.9393</w:t>
            </w:r>
          </w:p>
        </w:tc>
      </w:tr>
      <w:tr>
        <w:tc>
          <w:tcPr>
            <w:tcW w:type="dxa" w:w="156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Decision Tree (Baseline)</w:t>
            </w:r>
          </w:p>
        </w:tc>
        <w:tc>
          <w:tcPr>
            <w:tcW w:type="dxa" w:w="156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95.00%</w:t>
            </w:r>
          </w:p>
        </w:tc>
        <w:tc>
          <w:tcPr>
            <w:tcW w:type="dxa" w:w="156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38.89%</w:t>
            </w:r>
          </w:p>
        </w:tc>
        <w:tc>
          <w:tcPr>
            <w:tcW w:type="dxa" w:w="156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82.35%</w:t>
            </w:r>
          </w:p>
        </w:tc>
        <w:tc>
          <w:tcPr>
            <w:tcW w:type="dxa" w:w="156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0.5283</w:t>
            </w:r>
          </w:p>
        </w:tc>
        <w:tc>
          <w:tcPr>
            <w:tcW w:type="dxa" w:w="156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0.8568</w:t>
            </w:r>
          </w:p>
        </w:tc>
      </w:tr>
      <w:tr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Random Forest</w:t>
            </w:r>
          </w:p>
        </w:tc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98.40%</w:t>
            </w:r>
          </w:p>
        </w:tc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74.32%</w:t>
            </w:r>
          </w:p>
        </w:tc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80.88%</w:t>
            </w:r>
          </w:p>
        </w:tc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0.7746</w:t>
            </w:r>
          </w:p>
        </w:tc>
        <w:tc>
          <w:tcPr>
            <w:tcW w:type="dxa" w:w="15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0.9831</w:t>
            </w:r>
          </w:p>
        </w:tc>
      </w:tr>
      <w:tr>
        <w:tc>
          <w:tcPr>
            <w:tcW w:type="dxa" w:w="1560"/>
            <w:shd w:fill="EFF6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XGBoost Classifier (Champion)</w:t>
            </w:r>
          </w:p>
        </w:tc>
        <w:tc>
          <w:tcPr>
            <w:tcW w:type="dxa" w:w="1560"/>
            <w:shd w:fill="EFF6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98.45%</w:t>
            </w:r>
          </w:p>
        </w:tc>
        <w:tc>
          <w:tcPr>
            <w:tcW w:type="dxa" w:w="1560"/>
            <w:shd w:fill="EFF6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74.03%</w:t>
            </w:r>
          </w:p>
        </w:tc>
        <w:tc>
          <w:tcPr>
            <w:tcW w:type="dxa" w:w="1560"/>
            <w:shd w:fill="EFF6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83.82%</w:t>
            </w:r>
          </w:p>
        </w:tc>
        <w:tc>
          <w:tcPr>
            <w:tcW w:type="dxa" w:w="1560"/>
            <w:shd w:fill="EFF6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0.7862</w:t>
            </w:r>
          </w:p>
        </w:tc>
        <w:tc>
          <w:tcPr>
            <w:tcW w:type="dxa" w:w="1560"/>
            <w:shd w:fill="EFF6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0.9808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color w:val="102C57"/>
        </w:rPr>
        <w:t>4. Track B Benchmark: Induction Motor Digital Twin</w:t>
      </w:r>
    </w:p>
    <w:p>
      <w:r>
        <w:t>Table 2: Multi-Class Fault Classification Performance (312 Windows from 52 Held-Out Runs)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E3A8A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Fault Class</w:t>
            </w:r>
          </w:p>
        </w:tc>
        <w:tc>
          <w:tcPr>
            <w:tcW w:type="dxa" w:w="1872"/>
            <w:shd w:fill="1E3A8A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Precision</w:t>
            </w:r>
          </w:p>
        </w:tc>
        <w:tc>
          <w:tcPr>
            <w:tcW w:type="dxa" w:w="1872"/>
            <w:shd w:fill="1E3A8A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Recall</w:t>
            </w:r>
          </w:p>
        </w:tc>
        <w:tc>
          <w:tcPr>
            <w:tcW w:type="dxa" w:w="1872"/>
            <w:shd w:fill="1E3A8A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F1-Score</w:t>
            </w:r>
          </w:p>
        </w:tc>
        <w:tc>
          <w:tcPr>
            <w:tcW w:type="dxa" w:w="1872"/>
            <w:shd w:fill="1E3A8A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Test Windows</w:t>
            </w:r>
          </w:p>
        </w:tc>
      </w:tr>
      <w:tr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HEALTHY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76.92%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41.67%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0.5405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24 windows (4 runs)</w:t>
            </w:r>
          </w:p>
        </w:tc>
      </w:tr>
      <w:tr>
        <w:tc>
          <w:tcPr>
            <w:tcW w:type="dxa" w:w="1872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BROKEN_ROTOR_BAR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1.0000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72 windows (12 runs)</w:t>
            </w:r>
          </w:p>
        </w:tc>
      </w:tr>
      <w:tr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STATOR_INTER_TURN_SHORT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1.0000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72 windows (12 runs)</w:t>
            </w:r>
          </w:p>
        </w:tc>
      </w:tr>
      <w:tr>
        <w:tc>
          <w:tcPr>
            <w:tcW w:type="dxa" w:w="1872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BEARING_DEFECT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83.13%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95.83%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0.8903</w:t>
            </w:r>
          </w:p>
        </w:tc>
        <w:tc>
          <w:tcPr>
            <w:tcW w:type="dxa" w:w="1872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72 windows (12 runs)</w:t>
            </w:r>
          </w:p>
        </w:tc>
      </w:tr>
      <w:tr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AIR_GAP_ECCENTRICITY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100.00%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1.0000</w:t>
            </w:r>
          </w:p>
        </w:tc>
        <w:tc>
          <w:tcPr>
            <w:tcW w:type="dxa" w:w="1872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72 windows (12 runs)</w:t>
            </w:r>
          </w:p>
        </w:tc>
      </w:tr>
      <w:tr>
        <w:tc>
          <w:tcPr>
            <w:tcW w:type="dxa" w:w="1872"/>
            <w:shd w:fill="EFF6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Overall Model (Macro Avg)</w:t>
            </w:r>
          </w:p>
        </w:tc>
        <w:tc>
          <w:tcPr>
            <w:tcW w:type="dxa" w:w="1872"/>
            <w:shd w:fill="EFF6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92.01%</w:t>
            </w:r>
          </w:p>
        </w:tc>
        <w:tc>
          <w:tcPr>
            <w:tcW w:type="dxa" w:w="1872"/>
            <w:shd w:fill="EFF6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87.50%</w:t>
            </w:r>
          </w:p>
        </w:tc>
        <w:tc>
          <w:tcPr>
            <w:tcW w:type="dxa" w:w="1872"/>
            <w:shd w:fill="EFF6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0.8862</w:t>
            </w:r>
          </w:p>
        </w:tc>
        <w:tc>
          <w:tcPr>
            <w:tcW w:type="dxa" w:w="1872"/>
            <w:shd w:fill="EFF6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312 windows (52 runs)</w:t>
            </w:r>
          </w:p>
        </w:tc>
      </w:tr>
    </w:tbl>
    <w:p>
      <w:pPr>
        <w:spacing w:after="160"/>
      </w:pPr>
    </w:p>
    <w:p>
      <w:r>
        <w:t>Table 3: Leave-One-Load-Out (LOLO) Cross-Load Generalization Performance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Held-Out Load</w:t>
            </w:r>
          </w:p>
        </w:tc>
        <w:tc>
          <w:tcPr>
            <w:tcW w:type="dxa" w:w="2340"/>
            <w:shd w:fill="1E3A8A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Training Loads</w:t>
            </w:r>
          </w:p>
        </w:tc>
        <w:tc>
          <w:tcPr>
            <w:tcW w:type="dxa" w:w="2340"/>
            <w:shd w:fill="1E3A8A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Generalization Accuracy</w:t>
            </w:r>
          </w:p>
        </w:tc>
        <w:tc>
          <w:tcPr>
            <w:tcW w:type="dxa" w:w="2340"/>
            <w:shd w:fill="1E3A8A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7"/>
              </w:rPr>
              <w:t>Macro F1</w:t>
            </w:r>
          </w:p>
        </w:tc>
      </w:tr>
      <w:tr>
        <w:tc>
          <w:tcPr>
            <w:tcW w:type="dxa" w:w="23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25% Rated Load</w:t>
            </w:r>
          </w:p>
        </w:tc>
        <w:tc>
          <w:tcPr>
            <w:tcW w:type="dxa" w:w="23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50%, 75%, 100%</w:t>
            </w:r>
          </w:p>
        </w:tc>
        <w:tc>
          <w:tcPr>
            <w:tcW w:type="dxa" w:w="23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67.31%</w:t>
            </w:r>
          </w:p>
        </w:tc>
        <w:tc>
          <w:tcPr>
            <w:tcW w:type="dxa" w:w="23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0.6104</w:t>
            </w:r>
          </w:p>
        </w:tc>
      </w:tr>
      <w:tr>
        <w:tc>
          <w:tcPr>
            <w:tcW w:type="dxa" w:w="23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50% Rated Load</w:t>
            </w:r>
          </w:p>
        </w:tc>
        <w:tc>
          <w:tcPr>
            <w:tcW w:type="dxa" w:w="23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25%, 75%, 100%</w:t>
            </w:r>
          </w:p>
        </w:tc>
        <w:tc>
          <w:tcPr>
            <w:tcW w:type="dxa" w:w="23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67.31%</w:t>
            </w:r>
          </w:p>
        </w:tc>
        <w:tc>
          <w:tcPr>
            <w:tcW w:type="dxa" w:w="23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0.5327</w:t>
            </w:r>
          </w:p>
        </w:tc>
      </w:tr>
      <w:tr>
        <w:tc>
          <w:tcPr>
            <w:tcW w:type="dxa" w:w="23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75% Rated Load</w:t>
            </w:r>
          </w:p>
        </w:tc>
        <w:tc>
          <w:tcPr>
            <w:tcW w:type="dxa" w:w="23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25%, 50%, 100%</w:t>
            </w:r>
          </w:p>
        </w:tc>
        <w:tc>
          <w:tcPr>
            <w:tcW w:type="dxa" w:w="23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75.64%</w:t>
            </w:r>
          </w:p>
        </w:tc>
        <w:tc>
          <w:tcPr>
            <w:tcW w:type="dxa" w:w="234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0.7220</w:t>
            </w:r>
          </w:p>
        </w:tc>
      </w:tr>
      <w:tr>
        <w:tc>
          <w:tcPr>
            <w:tcW w:type="dxa" w:w="23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100% Rated Load</w:t>
            </w:r>
          </w:p>
        </w:tc>
        <w:tc>
          <w:tcPr>
            <w:tcW w:type="dxa" w:w="23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25%, 50%, 75%</w:t>
            </w:r>
          </w:p>
        </w:tc>
        <w:tc>
          <w:tcPr>
            <w:tcW w:type="dxa" w:w="23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73.08%</w:t>
            </w:r>
          </w:p>
        </w:tc>
        <w:tc>
          <w:tcPr>
            <w:tcW w:type="dxa" w:w="2340"/>
            <w:shd w:fill="F8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0.5835</w:t>
            </w:r>
          </w:p>
        </w:tc>
      </w:tr>
      <w:tr>
        <w:tc>
          <w:tcPr>
            <w:tcW w:type="dxa" w:w="2340"/>
            <w:shd w:fill="EFF6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Mean Across Loads</w:t>
            </w:r>
          </w:p>
        </w:tc>
        <w:tc>
          <w:tcPr>
            <w:tcW w:type="dxa" w:w="2340"/>
            <w:shd w:fill="EFF6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Cross-Load Evaluation</w:t>
            </w:r>
          </w:p>
        </w:tc>
        <w:tc>
          <w:tcPr>
            <w:tcW w:type="dxa" w:w="2340"/>
            <w:shd w:fill="EFF6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70.83%</w:t>
            </w:r>
          </w:p>
        </w:tc>
        <w:tc>
          <w:tcPr>
            <w:tcW w:type="dxa" w:w="2340"/>
            <w:shd w:fill="EFF6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b/>
                <w:sz w:val="17"/>
              </w:rPr>
              <w:t>0.6121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color w:val="102C57"/>
        </w:rPr>
        <w:t>5. Hardware Latency Benchmark (Measured over 500 Windows)</w:t>
      </w:r>
    </w:p>
    <w:p>
      <w:pPr>
        <w:spacing w:after="160"/>
      </w:pPr>
      <w:r>
        <w:t>Inference latencies were directly timed over 500 operational windows on host hardware (AMD Ryzen 5 4600H with Radeon Graphics, Windows 10 (10.0.26200), Python 3.10.0):</w:t>
        <w:br/>
        <w:t>• Feature Extraction (26 features): Mean 2.52 ms | p50 2.39 ms | p95 3.27 ms</w:t>
        <w:br/>
        <w:t>• Stage 1 Isolation Forest: Mean 9.45 ms | p50 9.13 ms | p95 11.35 ms</w:t>
        <w:br/>
        <w:t>• Stage 2 XGBoost Classifier: Mean 1.41 ms | p50 1.30 ms | p95 1.84 ms</w:t>
        <w:br/>
        <w:t>• Stage 4 TreeSHAP Attribution: Mean 3.82 ms | p50 3.62 ms | p95 5.08 ms</w:t>
        <w:br/>
        <w:t>• Full End-to-End Ingestion Path: Mean 17.43 ms | p50 16.68 ms | p95 21.32 ms</w:t>
      </w:r>
    </w:p>
    <w:p>
      <w:pPr>
        <w:pStyle w:val="Heading1"/>
      </w:pPr>
      <w:r>
        <w:rPr>
          <w:color w:val="102C57"/>
        </w:rPr>
        <w:t>6. Known Weaknesses &amp; Limitations Disclosure</w:t>
      </w:r>
    </w:p>
    <w:p>
      <w:pPr>
        <w:spacing w:after="200"/>
      </w:pPr>
      <w:r>
        <w:t>All empirical weaknesses are acknowledged to maintain strict scientific transparency:</w:t>
        <w:br/>
        <w:t>1. Healthy Class Recall: On the test split, Stage 2 achieved 41.67% recall on healthy operation due to a 12:1 training imbalance (48 healthy vs 576 faulty windows).</w:t>
        <w:br/>
        <w:t>2. Anomaly Recall: Unsupervised Isolation Forest detected 72.57% of faulty windows (missing 79 incipient fault windows).</w:t>
        <w:br/>
        <w:t>3. Idealized Simulation: Perfect scores on rotor bar, stator short, and eccentricity reflect deterministic mathematical simulation without inverter carrier harmonics.</w:t>
        <w:br/>
        <w:t>4. Cross-Load Dip: Leave-One-Load-Out generalization experiences an accuracy drop to 70.83% due to slip-dependent sideband frequency shifts.</w:t>
        <w:br/>
        <w:t>5. Deployment: Experimental bench testbed calibration is required before physical plant deployment.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