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E5496"/>
          <w:sz w:val="40"/>
          <w:szCs w:val="40"/>
        </w:rPr>
        <w:t xml:space="preserve">PIVT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ICO Outreach — Form D Tooling &amp; Next Steps</w:t>
      </w:r>
    </w:p>
    <w:p>
      <w:pPr>
        <w:pBdr>
          <w:bottom w:val="single" w:color="2E5496" w:sz="8" w:space="4"/>
        </w:pBdr>
        <w:spacing w:after="20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Follow-up to the ICO Discovery &amp; Outreach report  ·  July 2026</w:t>
      </w:r>
    </w:p>
    <w:p>
      <w:pPr>
        <w:pStyle w:val="Heading1"/>
        <w:spacing w:after="100" w:before="260"/>
      </w:pPr>
      <w:r>
        <w:rPr>
          <w:rFonts w:ascii="Calibri" w:cs="Calibri" w:eastAsia="Calibri" w:hAnsi="Calibri"/>
          <w:b/>
          <w:bCs/>
          <w:color w:val="2E5496"/>
          <w:sz w:val="28"/>
          <w:szCs w:val="28"/>
        </w:rPr>
        <w:t xml:space="preserve">Summary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Three items from the outreach report, actioned: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 D scraper — built. </w:t>
      </w:r>
      <w:r>
        <w:rPr>
          <w:rFonts w:ascii="Calibri" w:cs="Calibri" w:eastAsia="Calibri" w:hAnsi="Calibri"/>
          <w:sz w:val="21"/>
          <w:szCs w:val="21"/>
        </w:rPr>
        <w:t xml:space="preserve">A small, free tool that pulls SEC Form D filings straight from EDGAR (no Apify account, no per-result cost) and turns them into an outreach-ready list of independent sponsors and small PE firms the moment they raise for a deal. Runs with one command.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Axial — contact routes below. </w:t>
      </w:r>
      <w:r>
        <w:rPr>
          <w:rFonts w:ascii="Calibri" w:cs="Calibri" w:eastAsia="Calibri" w:hAnsi="Calibri"/>
          <w:sz w:val="21"/>
          <w:szCs w:val="21"/>
        </w:rPr>
        <w:t xml:space="preserve">Verified public channels plus a recommended, partnership-first approach. There is a strong precedent (Axial's exclusive association partnerships) to lead with.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Apollo — setup checklist below. </w:t>
      </w:r>
      <w:r>
        <w:rPr>
          <w:rFonts w:ascii="Calibri" w:cs="Calibri" w:eastAsia="Calibri" w:hAnsi="Calibri"/>
          <w:sz w:val="21"/>
          <w:szCs w:val="21"/>
        </w:rPr>
        <w:t xml:space="preserve">A ~20-minute free-tier setup and a first-ICO-list flow that cross-references the Form D names for your highest-intent leads.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/>
          <w:iCs/>
          <w:sz w:val="21"/>
          <w:szCs w:val="21"/>
        </w:rPr>
        <w:t xml:space="preserve">One honest note on the test run: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the environment this was built in blocks all SEC hosts, so the live pull could not be fired from there. The parser is proven end-to-end against a realistic sample filing (output shown below), and a single command does the real pull on any normal machine or network that can reach sec.gov.</w:t>
      </w:r>
    </w:p>
    <w:p>
      <w:pPr>
        <w:pStyle w:val="Heading1"/>
        <w:spacing w:after="100" w:before="260"/>
      </w:pPr>
      <w:r>
        <w:rPr>
          <w:rFonts w:ascii="Calibri" w:cs="Calibri" w:eastAsia="Calibri" w:hAnsi="Calibri"/>
          <w:b/>
          <w:bCs/>
          <w:color w:val="2E5496"/>
          <w:sz w:val="28"/>
          <w:szCs w:val="28"/>
        </w:rPr>
        <w:t xml:space="preserve">Part A. SEC Form D scraper (built)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Private issuers file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Form D</w:t>
      </w:r>
      <w:r>
        <w:rPr>
          <w:rFonts w:ascii="Calibri" w:cs="Calibri" w:eastAsia="Calibri" w:hAnsi="Calibri"/>
          <w:sz w:val="21"/>
          <w:szCs w:val="21"/>
        </w:rPr>
        <w:t xml:space="preserve"> with the SEC when they raise capital under a Regulation D exemption. Independent sponsors, search funds, family offices, and small PE firms file Form D for their acquisition SPVs — so a fresh Form D is a live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“raising for a deal right now” buying signal</w:t>
      </w:r>
      <w:r>
        <w:rPr>
          <w:rFonts w:ascii="Calibri" w:cs="Calibri" w:eastAsia="Calibri" w:hAnsi="Calibri"/>
          <w:sz w:val="21"/>
          <w:szCs w:val="21"/>
        </w:rPr>
        <w:t xml:space="preserve">, the highest-leverage free data source flagged in the report.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What you get (per filing)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One row per filing, ~34 columns. The fields that matter most for outreach:</w:t>
      </w:r>
    </w:p>
    <w:tbl>
      <w:tblPr>
        <w:tblW w:type="dxa" w:w="8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400"/>
        <w:gridCol w:w="5240"/>
      </w:tblGrid>
      <w:tr>
        <w:trPr>
          <w:tblHeader/>
        </w:trPr>
        <w:tc>
          <w:tcPr>
            <w:tcW w:type="dxa" w:w="34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4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it matters for outreach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issuer_name, entity_type, jurisdiction</w:t>
            </w:r>
          </w:p>
        </w:tc>
        <w:tc>
          <w:tcPr>
            <w:tcW w:type="dxa" w:w="5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Who filed; SPV vs. fund vs. LP</w:t>
            </w:r>
          </w:p>
        </w:tc>
      </w:tr>
      <w:tr>
        <w:tc>
          <w:tcPr>
            <w:tcW w:type="dxa" w:w="34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related_persons</w:t>
            </w:r>
          </w:p>
        </w:tc>
        <w:tc>
          <w:tcPr>
            <w:tcW w:type="dxa" w:w="5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Executive / director / promoter names — your actual contacts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signer_name, signer_title</w:t>
            </w:r>
          </w:p>
        </w:tc>
        <w:tc>
          <w:tcPr>
            <w:tcW w:type="dxa" w:w="5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Who signed (often the GP / managing partner)</w:t>
            </w:r>
          </w:p>
        </w:tc>
      </w:tr>
      <w:tr>
        <w:tc>
          <w:tcPr>
            <w:tcW w:type="dxa" w:w="34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city, state, issuer_phone</w:t>
            </w:r>
          </w:p>
        </w:tc>
        <w:tc>
          <w:tcPr>
            <w:tcW w:type="dxa" w:w="5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Location + issuer phone (see caveat below)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industry_group, investment_fund_type</w:t>
            </w:r>
          </w:p>
        </w:tc>
        <w:tc>
          <w:tcPr>
            <w:tcW w:type="dxa" w:w="5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Filter to PE / pooled-fund / operating-company raises</w:t>
            </w:r>
          </w:p>
        </w:tc>
      </w:tr>
      <w:tr>
        <w:tc>
          <w:tcPr>
            <w:tcW w:type="dxa" w:w="34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total_offering_amount, amount_sold, remaining</w:t>
            </w:r>
          </w:p>
        </w:tc>
        <w:tc>
          <w:tcPr>
            <w:tcW w:type="dxa" w:w="5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Deal size and how much is left to raise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total_investors, minimum_investment</w:t>
            </w:r>
          </w:p>
        </w:tc>
        <w:tc>
          <w:tcPr>
            <w:tcW w:type="dxa" w:w="5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Round shape</w:t>
            </w:r>
          </w:p>
        </w:tc>
      </w:tr>
      <w:tr>
        <w:tc>
          <w:tcPr>
            <w:tcW w:type="dxa" w:w="34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is_business_combination</w:t>
            </w:r>
          </w:p>
        </w:tc>
        <w:tc>
          <w:tcPr>
            <w:tcW w:type="dxa" w:w="5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Flags acquisition-type raises (independent-sponsor signal)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date_of_first_sale, date_filed</w:t>
            </w:r>
          </w:p>
        </w:tc>
        <w:tc>
          <w:tcPr>
            <w:tcW w:type="dxa" w:w="5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Freshness / timing of the signal</w:t>
            </w:r>
          </w:p>
        </w:tc>
      </w:tr>
      <w:tr>
        <w:tc>
          <w:tcPr>
            <w:tcW w:type="dxa" w:w="34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federal_exemptions, security_types</w:t>
            </w:r>
          </w:p>
        </w:tc>
        <w:tc>
          <w:tcPr>
            <w:tcW w:type="dxa" w:w="5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506(b) vs 506(c); equity vs pooled fund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Caveat: </w:t>
      </w:r>
      <w:r>
        <w:rPr>
          <w:rFonts w:ascii="Calibri" w:cs="Calibri" w:eastAsia="Calibri" w:hAnsi="Calibri"/>
          <w:sz w:val="21"/>
          <w:szCs w:val="21"/>
        </w:rPr>
        <w:t xml:space="preserve">the phone number belongs to the issuer/SPV, not the executive's direct line. Use Form D to capture the name + firm + signal, then run that person through Apollo / Sales Navigator for a direct email.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Sample output (from the synthetic test filing)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single parsed row looks like this (fictional issuer, used to prove the parser):</w:t>
      </w:r>
    </w:p>
    <w:tbl>
      <w:tblPr>
        <w:tblW w:type="dxa" w:w="8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200"/>
        <w:gridCol w:w="5440"/>
      </w:tblGrid>
      <w:tr>
        <w:trPr>
          <w:tblHeader/>
        </w:trPr>
        <w:tc>
          <w:tcPr>
            <w:tcW w:type="dxa" w:w="32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44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issuer_name</w:t>
            </w:r>
          </w:p>
        </w:tc>
        <w:tc>
          <w:tcPr>
            <w:tcW w:type="dxa" w:w="5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Cedar Ridge Acquisition Partners LP</w:t>
            </w:r>
          </w:p>
        </w:tc>
      </w:tr>
      <w:tr>
        <w:tc>
          <w:tcPr>
            <w:tcW w:type="dxa" w:w="32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entity_type / jurisdiction</w:t>
            </w:r>
          </w:p>
        </w:tc>
        <w:tc>
          <w:tcPr>
            <w:tcW w:type="dxa" w:w="54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Limited Partnership / Delaware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location / phone</w:t>
            </w:r>
          </w:p>
        </w:tc>
        <w:tc>
          <w:tcPr>
            <w:tcW w:type="dxa" w:w="5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Nashville, TN 37201 / 615-555-0142</w:t>
            </w:r>
          </w:p>
        </w:tc>
      </w:tr>
      <w:tr>
        <w:tc>
          <w:tcPr>
            <w:tcW w:type="dxa" w:w="32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industry / fund type</w:t>
            </w:r>
          </w:p>
        </w:tc>
        <w:tc>
          <w:tcPr>
            <w:tcW w:type="dxa" w:w="54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Pooled Investment Fund / Private Equity Fund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offering / sold / remaining</w:t>
            </w:r>
          </w:p>
        </w:tc>
        <w:tc>
          <w:tcPr>
            <w:tcW w:type="dxa" w:w="5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$18,000,000 / $7,500,000 / $10,500,000</w:t>
            </w:r>
          </w:p>
        </w:tc>
      </w:tr>
      <w:tr>
        <w:tc>
          <w:tcPr>
            <w:tcW w:type="dxa" w:w="32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investors / min. investment</w:t>
            </w:r>
          </w:p>
        </w:tc>
        <w:tc>
          <w:tcPr>
            <w:tcW w:type="dxa" w:w="54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 / $250,000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combination</w:t>
            </w:r>
          </w:p>
        </w:tc>
        <w:tc>
          <w:tcPr>
            <w:tcW w:type="dxa" w:w="5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true (acquisition-type raise)</w:t>
            </w:r>
          </w:p>
        </w:tc>
      </w:tr>
      <w:tr>
        <w:tc>
          <w:tcPr>
            <w:tcW w:type="dxa" w:w="32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related_persons</w:t>
            </w:r>
          </w:p>
        </w:tc>
        <w:tc>
          <w:tcPr>
            <w:tcW w:type="dxa" w:w="54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Marcus Delgado (Executive Officer, Director); Priya Anand (Executive Officer)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signer</w:t>
            </w:r>
          </w:p>
        </w:tc>
        <w:tc>
          <w:tcPr>
            <w:tcW w:type="dxa" w:w="5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Marcus Delgado — Managing Partner</w:t>
            </w:r>
          </w:p>
        </w:tc>
      </w:tr>
    </w:tbl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How to run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Install and do a small test run — one business day, capped at 25 filings:</w:t>
      </w:r>
    </w:p>
    <w:p>
      <w:pPr>
        <w:pBdr>
          <w:top w:val="single" w:color="D9D9D9" w:sz="4" w:space="6"/>
          <w:bottom w:val="single" w:color="D9D9D9" w:sz="4" w:space="6"/>
          <w:left w:val="single" w:color="D9D9D9" w:sz="4" w:space="6"/>
          <w:right w:val="single" w:color="D9D9D9" w:sz="4" w:space="6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pBdr>
          <w:top w:val="single" w:color="D9D9D9" w:sz="4" w:space="6"/>
          <w:bottom w:val="single" w:color="D9D9D9" w:sz="4" w:space="6"/>
          <w:left w:val="single" w:color="D9D9D9" w:sz="4" w:space="6"/>
          <w:right w:val="single" w:color="D9D9D9" w:sz="4" w:space="6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form_d_scraper.py --start 2026-07-24 --end 2026-07-24 --limit 25 \
  --user-agent "PIVT Research yourname@pivt.com"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full week, written to a folder:</w:t>
      </w:r>
    </w:p>
    <w:p>
      <w:pPr>
        <w:pBdr>
          <w:top w:val="single" w:color="D9D9D9" w:sz="4" w:space="6"/>
          <w:bottom w:val="single" w:color="D9D9D9" w:sz="4" w:space="6"/>
          <w:left w:val="single" w:color="D9D9D9" w:sz="4" w:space="6"/>
          <w:right w:val="single" w:color="D9D9D9" w:sz="4" w:space="6"/>
        </w:pBd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form_d_scraper.py --start 2026-07-20 --end 2026-07-24 \
  --user-agent "PIVT Research yourname@pivt.com" --out pulls/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--user-agent is required and must contain a real contact email — </w:t>
      </w:r>
      <w:r>
        <w:rPr>
          <w:rFonts w:ascii="Calibri" w:cs="Calibri" w:eastAsia="Calibri" w:hAnsi="Calibri"/>
          <w:sz w:val="21"/>
          <w:szCs w:val="21"/>
        </w:rPr>
        <w:t xml:space="preserve">SEC fair-access rules require a descriptive User-Agent and a cap of 10 requests/sec. The script self-throttles to ~6/sec and retries transient errors. Output lands as CSV (for Sheets / Apollo import) and JSON.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Realistic volume: </w:t>
      </w:r>
      <w:r>
        <w:rPr>
          <w:rFonts w:ascii="Calibri" w:cs="Calibri" w:eastAsia="Calibri" w:hAnsi="Calibri"/>
          <w:sz w:val="21"/>
          <w:szCs w:val="21"/>
        </w:rPr>
        <w:t xml:space="preserve">roughly 300–500 Form Ds are filed per business day across all industries. Most are not ICOs (lots of real-estate and operating-company raises); the filters below narrow to the segment that matters.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Direct-to-EDGAR vs. the Apify actor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report costed the Apify actor at ~$2 / 1,000 results. Apify is just a paid wrapper around the same free SEC data. Building direct means:</w:t>
      </w:r>
    </w:p>
    <w:tbl>
      <w:tblPr>
        <w:tblW w:type="dxa" w:w="8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700"/>
        <w:gridCol w:w="3700"/>
        <w:gridCol w:w="3240"/>
      </w:tblGrid>
      <w:tr>
        <w:trPr>
          <w:tblHeader/>
        </w:trPr>
        <w:tc>
          <w:tcPr>
            <w:tcW w:type="dxa" w:w="17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 to EDGAR (this tool)</w:t>
            </w:r>
          </w:p>
        </w:tc>
        <w:tc>
          <w:tcPr>
            <w:tcW w:type="dxa" w:w="324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Apify actor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Cost per pull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$0</w:t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~$2 / 1,000 results + platform fee</w:t>
            </w:r>
          </w:p>
        </w:tc>
      </w:tr>
      <w:tr>
        <w:tc>
          <w:tcPr>
            <w:tcW w:type="dxa" w:w="17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Account / token</w:t>
            </w:r>
          </w:p>
        </w:tc>
        <w:tc>
          <w:tcPr>
            <w:tcW w:type="dxa" w:w="37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3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Apify account + API token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Fields returned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~34 (same data)</w:t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~30 (same data)</w:t>
            </w:r>
          </w:p>
        </w:tc>
      </w:tr>
      <w:tr>
        <w:tc>
          <w:tcPr>
            <w:tcW w:type="dxa" w:w="17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Control</w:t>
            </w:r>
          </w:p>
        </w:tc>
        <w:tc>
          <w:tcPr>
            <w:tcW w:type="dxa" w:w="37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— field mapping, cadence, destination</w:t>
            </w:r>
          </w:p>
        </w:tc>
        <w:tc>
          <w:tcPr>
            <w:tcW w:type="dxa" w:w="32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Actor's mapping / UI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When to choose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Default</w:t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Only if you want the built-in scheduler/UI</w:t>
            </w:r>
          </w:p>
        </w:tc>
      </w:tr>
    </w:tbl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Suggested filters — turn a raw pull into an ICO list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From the CSV, keep rows where any of these hold to isolate the independent-sponsor / small-PE segment: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industry_group </w:t>
      </w:r>
      <w:r>
        <w:rPr>
          <w:rFonts w:ascii="Calibri" w:cs="Calibri" w:eastAsia="Calibri" w:hAnsi="Calibri"/>
          <w:sz w:val="21"/>
          <w:szCs w:val="21"/>
        </w:rPr>
        <w:t xml:space="preserve">= Pooled Investment Fund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and </w:t>
      </w:r>
      <w:r>
        <w:rPr>
          <w:rFonts w:ascii="Calibri" w:cs="Calibri" w:eastAsia="Calibri" w:hAnsi="Calibri"/>
          <w:sz w:val="21"/>
          <w:szCs w:val="21"/>
        </w:rPr>
        <w:t xml:space="preserve">investment_fund_type in {Private Equity Fund, Other Investment Fund}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is_business_combination </w:t>
      </w:r>
      <w:r>
        <w:rPr>
          <w:rFonts w:ascii="Calibri" w:cs="Calibri" w:eastAsia="Calibri" w:hAnsi="Calibri"/>
          <w:sz w:val="21"/>
          <w:szCs w:val="21"/>
        </w:rPr>
        <w:t xml:space="preserve">= true (acquisition SPVs)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total_offering_amount </w:t>
      </w:r>
      <w:r>
        <w:rPr>
          <w:rFonts w:ascii="Calibri" w:cs="Calibri" w:eastAsia="Calibri" w:hAnsi="Calibri"/>
          <w:sz w:val="21"/>
          <w:szCs w:val="21"/>
        </w:rPr>
        <w:t xml:space="preserve">between ~$1M and ~$100M (lower-middle-market range)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Then dedupe by firm / person and push the names into Apollo to find verified emails.</w:t>
      </w:r>
    </w:p>
    <w:p>
      <w:pPr>
        <w:pStyle w:val="Heading1"/>
        <w:spacing w:after="100" w:before="260"/>
      </w:pPr>
      <w:r>
        <w:rPr>
          <w:rFonts w:ascii="Calibri" w:cs="Calibri" w:eastAsia="Calibri" w:hAnsi="Calibri"/>
          <w:b/>
          <w:bCs/>
          <w:color w:val="2E5496"/>
          <w:sz w:val="28"/>
          <w:szCs w:val="28"/>
        </w:rPr>
        <w:t xml:space="preserve">Part B. Axial — partnership contact routes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report's call was to approach Axial as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partnership / distribution channel</w:t>
      </w:r>
      <w:r>
        <w:rPr>
          <w:rFonts w:ascii="Calibri" w:cs="Calibri" w:eastAsia="Calibri" w:hAnsi="Calibri"/>
          <w:sz w:val="21"/>
          <w:szCs w:val="21"/>
        </w:rPr>
        <w:t xml:space="preserve">, not a data subscription — and that framing is right. There's a strong precedent to lead with: Axial already runs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exclusive partnerships with member associations</w:t>
      </w:r>
      <w:r>
        <w:rPr>
          <w:rFonts w:ascii="Calibri" w:cs="Calibri" w:eastAsia="Calibri" w:hAnsi="Calibri"/>
          <w:sz w:val="21"/>
          <w:szCs w:val="21"/>
        </w:rPr>
        <w:t xml:space="preserve">, most notably the Small Business Investor Alliance (SBIA), for which Axial is the exclusive online deal-sourcing platform. And the fit is striking: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independent sponsors now account for 27% of all closed deals on Axial — the highest share of any buyer type, ahead of PE funds at 20%.</w:t>
      </w:r>
      <w:r>
        <w:rPr>
          <w:rFonts w:ascii="Calibri" w:cs="Calibri" w:eastAsia="Calibri" w:hAnsi="Calibri"/>
          <w:sz w:val="21"/>
          <w:szCs w:val="21"/>
        </w:rPr>
        <w:t xml:space="preserve"> That is PIVT's exact ICO. So “PIVT as a workflow / distribution partner for your independent-sponsor members” is a conversation Axial is structurally set up to have.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Named people to approach (verified as of July 2026)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There is no public “Head of Partnerships” title at Axial today, so the right doors are the CEO (for a strategic channel partnership at PIVT's stage) and the operations / go-to-market leaders. Verify current titles on LinkedIn before reaching out — people move (Axial's former CRO, for instance, has since left).</w:t>
      </w:r>
    </w:p>
    <w:tbl>
      <w:tblPr>
        <w:tblW w:type="dxa" w:w="8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900"/>
        <w:gridCol w:w="2900"/>
        <w:gridCol w:w="3840"/>
      </w:tblGrid>
      <w:tr>
        <w:trPr>
          <w:tblHeader/>
        </w:trPr>
        <w:tc>
          <w:tcPr>
            <w:tcW w:type="dxa" w:w="19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9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84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this door / how to reach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Peter Lehrman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Founder &amp; CEO</w:t>
            </w:r>
          </w:p>
        </w:tc>
        <w:tc>
          <w:tcPr>
            <w:tcW w:type="dxa" w:w="3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Best first door for a strategic channel partnership founder-to-founder. LinkedIn: /in/plehrman/</w:t>
            </w:r>
          </w:p>
        </w:tc>
      </w:tr>
      <w:tr>
        <w:tc>
          <w:tcPr>
            <w:tcW w:type="dxa" w:w="19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Nick Coetzee</w:t>
            </w:r>
          </w:p>
        </w:tc>
        <w:tc>
          <w:tcPr>
            <w:tcW w:type="dxa" w:w="29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Chief of Staff &amp; VP, Operations</w:t>
            </w:r>
          </w:p>
        </w:tc>
        <w:tc>
          <w:tcPr>
            <w:tcW w:type="dxa" w:w="38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Owns growth strategy, people, finance, ops — the role that typically owns partnerships at Axial's size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Alfredo Garcia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Director, Head of Sell-Side</w:t>
            </w:r>
          </w:p>
        </w:tc>
        <w:tc>
          <w:tcPr>
            <w:tcW w:type="dxa" w:w="3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Leads go-to-market; a commercial door if the CEO route stalls</w:t>
            </w:r>
          </w:p>
        </w:tc>
      </w:tr>
      <w:tr>
        <w:tc>
          <w:tcPr>
            <w:tcW w:type="dxa" w:w="19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Mark Romeo</w:t>
            </w:r>
          </w:p>
        </w:tc>
        <w:tc>
          <w:tcPr>
            <w:tcW w:type="dxa" w:w="29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Director, Member/Customer Success</w:t>
            </w:r>
          </w:p>
        </w:tc>
        <w:tc>
          <w:tcPr>
            <w:tcW w:type="dxa" w:w="38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Owns the buy-side member relationship (the independent sponsors); useful context/warm intro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warm, in-person route: </w:t>
      </w:r>
      <w:r>
        <w:rPr>
          <w:rFonts w:ascii="Calibri" w:cs="Calibri" w:eastAsia="Calibri" w:hAnsi="Calibri"/>
          <w:sz w:val="21"/>
          <w:szCs w:val="21"/>
        </w:rPr>
        <w:t xml:space="preserve">because Axial powers SBIA's deal sourcing, the SBIA Independent Sponsor Forum / Deal Series events (Dallas Mar 3, Philadelphia May 6, Chicago Sept, LA Nov — 2026) put Axial's team and independent sponsors in the same room. Attending one is a way to meet Axial and prospective ICOs at once.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Verified public contact channels </w:t>
      </w:r>
      <w:r>
        <w:rPr>
          <w:rFonts w:ascii="Calibri" w:cs="Calibri" w:eastAsia="Calibri" w:hAnsi="Calibri"/>
          <w:sz w:val="21"/>
          <w:szCs w:val="21"/>
        </w:rPr>
        <w:t xml:space="preserve">(the real, checkable routes — I did not invent individual emails):</w:t>
      </w:r>
    </w:p>
    <w:tbl>
      <w:tblPr>
        <w:tblW w:type="dxa" w:w="86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100"/>
        <w:gridCol w:w="6540"/>
      </w:tblGrid>
      <w:tr>
        <w:trPr>
          <w:tblHeader/>
        </w:trPr>
        <w:tc>
          <w:tcPr>
            <w:tcW w:type="dxa" w:w="210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6540"/>
            <w:shd w:fill="2E549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Website</w:t>
            </w:r>
          </w:p>
        </w:tc>
        <w:tc>
          <w:tcPr>
            <w:tcW w:type="dxa" w:w="6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axial.net — general contact / “Request a demo” form</w:t>
            </w:r>
          </w:p>
        </w:tc>
      </w:tr>
      <w:tr>
        <w:tc>
          <w:tcPr>
            <w:tcW w:type="dxa" w:w="21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Team page</w:t>
            </w:r>
          </w:p>
        </w:tc>
        <w:tc>
          <w:tcPr>
            <w:tcW w:type="dxa" w:w="65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axial.net/whoweare — leadership names for targeted, warm outreach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HQ</w:t>
            </w:r>
          </w:p>
        </w:tc>
        <w:tc>
          <w:tcPr>
            <w:tcW w:type="dxa" w:w="6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443 Park Avenue South, 8th Floor, New York, NY 10016</w:t>
            </w:r>
          </w:p>
        </w:tc>
      </w:tr>
      <w:tr>
        <w:tc>
          <w:tcPr>
            <w:tcW w:type="dxa" w:w="210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Phone</w:t>
            </w:r>
          </w:p>
        </w:tc>
        <w:tc>
          <w:tcPr>
            <w:tcW w:type="dxa" w:w="6540"/>
            <w:shd w:fill="EEF2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800-860-4519</w:t>
            </w:r>
          </w:p>
        </w:tc>
      </w:tr>
      <w:t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LinkedIn</w:t>
            </w:r>
          </w:p>
        </w:tc>
        <w:tc>
          <w:tcPr>
            <w:tcW w:type="dxa" w:w="6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linkedin.com/company/axial — best route to named BD/partnerships staff via Sales Navigator</w:t>
            </w:r>
          </w:p>
        </w:tc>
      </w:tr>
    </w:tbl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Recommended approach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 the partnerships owner, not sales. </w:t>
      </w:r>
      <w:r>
        <w:rPr>
          <w:rFonts w:ascii="Calibri" w:cs="Calibri" w:eastAsia="Calibri" w:hAnsi="Calibri"/>
          <w:sz w:val="21"/>
          <w:szCs w:val="21"/>
        </w:rPr>
        <w:t xml:space="preserve">Use LinkedIn Sales Navigator (once set up) to find whoever owns partnerships / membership / BD at Axial — that's the right door, not the team that gates the data product.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 with the SBIA-style framing. </w:t>
      </w:r>
      <w:r>
        <w:rPr>
          <w:rFonts w:ascii="Calibri" w:cs="Calibri" w:eastAsia="Calibri" w:hAnsi="Calibri"/>
          <w:sz w:val="21"/>
          <w:szCs w:val="21"/>
        </w:rPr>
        <w:t xml:space="preserve">PIVT as a deal-execution / workflow layer for their independent-sponsor and lower-middle-market members — a channel partnership, not a data buy.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Fall back to the website form or HQ line </w:t>
      </w:r>
      <w:r>
        <w:rPr>
          <w:rFonts w:ascii="Calibri" w:cs="Calibri" w:eastAsia="Calibri" w:hAnsi="Calibri"/>
          <w:sz w:val="21"/>
          <w:szCs w:val="21"/>
        </w:rPr>
        <w:t xml:space="preserve">only if you can't get a warm LinkedIn intro.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/>
          <w:iCs/>
          <w:sz w:val="21"/>
          <w:szCs w:val="21"/>
        </w:rPr>
        <w:t xml:space="preserve">Confidence note: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names and roles above come from public sources (LinkedIn, company profiles) and are current to the best of my checking as of July 2026; I have not published personal email addresses because I could not verify them — pull those via Apollo / Sales Navigator, and re-confirm each title before you send.</w:t>
      </w:r>
    </w:p>
    <w:p>
      <w:pPr>
        <w:pStyle w:val="Heading1"/>
        <w:spacing w:after="100" w:before="260"/>
      </w:pPr>
      <w:r>
        <w:rPr>
          <w:rFonts w:ascii="Calibri" w:cs="Calibri" w:eastAsia="Calibri" w:hAnsi="Calibri"/>
          <w:b/>
          <w:bCs/>
          <w:color w:val="2E5496"/>
          <w:sz w:val="28"/>
          <w:szCs w:val="28"/>
        </w:rPr>
        <w:t xml:space="preserve">Part C. Apollo free tier — this-week setup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Apollo is the outreach anchor (database + email finder + verifier + sequencer in one). Start free; upgrade to Basic ($49/mo) only when you hit export limits.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Setup (~20 minutes)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Sign up </w:t>
      </w:r>
      <w:r>
        <w:rPr>
          <w:rFonts w:ascii="Calibri" w:cs="Calibri" w:eastAsia="Calibri" w:hAnsi="Calibri"/>
          <w:sz w:val="21"/>
          <w:szCs w:val="21"/>
        </w:rPr>
        <w:t xml:space="preserve">at apollo.io with the PIVT domain email (better deliverability + company enrichment than a personal address).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Verify + connect your sending mailbox </w:t>
      </w:r>
      <w:r>
        <w:rPr>
          <w:rFonts w:ascii="Calibri" w:cs="Calibri" w:eastAsia="Calibri" w:hAnsi="Calibri"/>
          <w:sz w:val="21"/>
          <w:szCs w:val="21"/>
        </w:rPr>
        <w:t xml:space="preserve">(Google / Microsoft) — this powers sequencing later.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Install the Apollo Chrome extension </w:t>
      </w:r>
      <w:r>
        <w:rPr>
          <w:rFonts w:ascii="Calibri" w:cs="Calibri" w:eastAsia="Calibri" w:hAnsi="Calibri"/>
          <w:sz w:val="21"/>
          <w:szCs w:val="21"/>
        </w:rPr>
        <w:t xml:space="preserve">— it surfaces contacts directly on LinkedIn / Sales Navigator, exactly the discovery flow in the report.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Plan around free-tier limits: </w:t>
      </w:r>
      <w:r>
        <w:rPr>
          <w:rFonts w:ascii="Calibri" w:cs="Calibri" w:eastAsia="Calibri" w:hAnsi="Calibri"/>
          <w:sz w:val="21"/>
          <w:szCs w:val="21"/>
        </w:rPr>
        <w:t xml:space="preserve">~5 mobile + 10 export credits, ~250 emails/day, 2 active sequences. Fine for a first list; upgrade when exports run out.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Starter workbook provided: </w:t>
      </w:r>
      <w:r>
        <w:rPr>
          <w:rFonts w:ascii="Calibri" w:cs="Calibri" w:eastAsia="Calibri" w:hAnsi="Calibri"/>
          <w:sz w:val="21"/>
          <w:szCs w:val="21"/>
        </w:rPr>
        <w:t xml:space="preserve">PIVT_ICO_Target_List.xlsx accompanies this report. It has an Apollo-ready import template, a “best free seed sources” tab (including Axial's own public independent-sponsor directories), and this search recipe. Note: I can't create the Apollo account for you — signup needs your email verification — but the list is ready to import the moment you're in.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First ICO list — recommended flow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Build a saved search: </w:t>
      </w:r>
      <w:r>
        <w:rPr>
          <w:rFonts w:ascii="Calibri" w:cs="Calibri" w:eastAsia="Calibri" w:hAnsi="Calibri"/>
          <w:sz w:val="21"/>
          <w:szCs w:val="21"/>
        </w:rPr>
        <w:t xml:space="preserve">titles like Managing Partner, Principal, Founder, Independent Sponsor, Managing Director; company types Private Equity / Investment Management / Family Office; headcount 1–50; geography US + Canada.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Cross-reference with the Form D pull. </w:t>
      </w:r>
      <w:r>
        <w:rPr>
          <w:rFonts w:ascii="Calibri" w:cs="Calibri" w:eastAsia="Calibri" w:hAnsi="Calibri"/>
          <w:sz w:val="21"/>
          <w:szCs w:val="21"/>
        </w:rPr>
        <w:t xml:space="preserve">The Form D names are your highest-intent leads — they're raising right now. Search each name in Apollo for a verified email, then drop them into a sequence.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Split the tools: </w:t>
      </w:r>
      <w:r>
        <w:rPr>
          <w:rFonts w:ascii="Calibri" w:cs="Calibri" w:eastAsia="Calibri" w:hAnsi="Calibri"/>
          <w:sz w:val="21"/>
          <w:szCs w:val="21"/>
        </w:rPr>
        <w:t xml:space="preserve">Sales Navigator for discovery / qualification, Apollo for finding–verifying–sending.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 Sales Navigator: </w:t>
      </w:r>
      <w:r>
        <w:rPr>
          <w:rFonts w:ascii="Calibri" w:cs="Calibri" w:eastAsia="Calibri" w:hAnsi="Calibri"/>
          <w:sz w:val="21"/>
          <w:szCs w:val="21"/>
        </w:rPr>
        <w:t xml:space="preserve">worth asking your LinkedIn contact about a discount. Core lists at ~$99/mo monthly, ~$90/mo annual, with a 30-day free trial you can start whenever you're ready to build the first list.</w:t>
      </w:r>
    </w:p>
    <w:p>
      <w:pPr>
        <w:pStyle w:val="Heading1"/>
        <w:spacing w:after="100" w:before="260"/>
      </w:pPr>
      <w:r>
        <w:rPr>
          <w:rFonts w:ascii="Calibri" w:cs="Calibri" w:eastAsia="Calibri" w:hAnsi="Calibri"/>
          <w:b/>
          <w:bCs/>
          <w:color w:val="2E5496"/>
          <w:sz w:val="28"/>
          <w:szCs w:val="28"/>
        </w:rPr>
        <w:t xml:space="preserve">Sources (Axial)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axial.net — M&amp;A and capital-raising platform for the middle market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axial.net/whoweare — team / leadership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linkedin.com/company/axial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Business Wire — SBIA selects Axial as exclusive online deal-sourcing network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2026-07-25T19:46:35.320Z</dcterms:created>
  <dcterms:modified xsi:type="dcterms:W3CDTF">2026-07-25T19:46:35.336Z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