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160"/>
        <w:jc w:val="center"/>
      </w:pPr>
      <w:r>
        <w:rPr>
          <w:rFonts w:ascii="Arial" w:cs="Arial" w:eastAsia="Arial" w:hAnsi="Arial"/>
          <w:b/>
          <w:bCs/>
          <w:color w:val="1E3A5F"/>
          <w:sz w:val="52"/>
          <w:szCs w:val="52"/>
        </w:rPr>
        <w:t xml:space="preserve">PROJECT REPORT</w:t>
      </w:r>
    </w:p>
    <w:p>
      <w:pPr>
        <w:spacing w:after="80"/>
        <w:jc w:val="center"/>
      </w:pPr>
      <w:r>
        <w:rPr>
          <w:rFonts w:ascii="Arial" w:cs="Arial" w:eastAsia="Arial" w:hAnsi="Arial"/>
          <w:b/>
          <w:bCs/>
          <w:color w:val="2E75B6"/>
          <w:sz w:val="40"/>
          <w:szCs w:val="40"/>
        </w:rPr>
        <w:t xml:space="preserve">Customer Churn Prediction</w:t>
      </w:r>
    </w:p>
    <w:p>
      <w:pPr>
        <w:spacing w:after="560"/>
        <w:jc w:val="center"/>
      </w:pPr>
      <w:r>
        <w:rPr>
          <w:rFonts w:ascii="Arial" w:cs="Arial" w:eastAsia="Arial" w:hAnsi="Arial"/>
          <w:i/>
          <w:iCs/>
          <w:color w:val="6B7280"/>
          <w:sz w:val="26"/>
          <w:szCs w:val="26"/>
        </w:rPr>
        <w:t xml:space="preserve">Machine Learning with scikit-learn</w:t>
      </w:r>
    </w:p>
    <w:p>
      <w:pPr>
        <w:pBdr>
          <w:bottom w:val="single" w:color="2E75B6" w:sz="6" w:space="1"/>
        </w:pBdr>
        <w:spacing w:after="400"/>
      </w:pPr>
      <w:r>
        <w:t xml:space="preserve"/>
      </w:r>
    </w:p>
    <w:p>
      <w:pPr>
        <w:spacing w:after="60"/>
        <w:jc w:val="center"/>
      </w:pPr>
      <w:r>
        <w:rPr>
          <w:rFonts w:ascii="Arial" w:cs="Arial" w:eastAsia="Arial" w:hAnsi="Arial"/>
          <w:color w:val="6B7280"/>
          <w:sz w:val="22"/>
          <w:szCs w:val="22"/>
        </w:rPr>
        <w:t xml:space="preserve">Prepared by:</w:t>
      </w:r>
    </w:p>
    <w:p>
      <w:pPr>
        <w:spacing w:after="60"/>
        <w:jc w:val="center"/>
      </w:pPr>
      <w:r>
        <w:rPr>
          <w:rFonts w:ascii="Arial" w:cs="Arial" w:eastAsia="Arial" w:hAnsi="Arial"/>
          <w:b/>
          <w:bCs/>
          <w:color w:val="1F2937"/>
          <w:sz w:val="24"/>
          <w:szCs w:val="24"/>
        </w:rPr>
        <w:t xml:space="preserve">ML Engineering Team</w:t>
      </w:r>
    </w:p>
    <w:p>
      <w:pPr>
        <w:spacing w:after="60"/>
        <w:jc w:val="center"/>
      </w:pPr>
      <w:r>
        <w:rPr>
          <w:rFonts w:ascii="Arial" w:cs="Arial" w:eastAsia="Arial" w:hAnsi="Arial"/>
          <w:color w:val="6B7280"/>
          <w:sz w:val="22"/>
          <w:szCs w:val="22"/>
        </w:rPr>
        <w:t xml:space="preserve">Date: June 2026</w:t>
      </w:r>
    </w:p>
    <w:p>
      <w:pPr>
        <w:spacing w:after="400"/>
        <w:jc w:val="center"/>
      </w:pPr>
      <w:r>
        <w:rPr>
          <w:rFonts w:ascii="Arial" w:cs="Arial" w:eastAsia="Arial" w:hAnsi="Arial"/>
          <w:i/>
          <w:iCs/>
          <w:color w:val="6B7280"/>
          <w:sz w:val="20"/>
          <w:szCs w:val="20"/>
        </w:rPr>
        <w:t xml:space="preserve">Framework: Python 3.12 · scikit-learn · pandas · matplotlib</w:t>
      </w:r>
    </w:p>
    <w:p>
      <w:r>
        <w:br w:type="page"/>
      </w:r>
    </w:p>
    <w:p>
      <w:pPr>
        <w:pStyle w:val="Heading1"/>
        <w:pBdr>
          <w:bottom w:val="single" w:color="2E75B6" w:sz="4" w:space="4"/>
        </w:pBdr>
        <w:spacing w:after="160" w:before="360"/>
      </w:pPr>
      <w:r>
        <w:rPr>
          <w:rFonts w:ascii="Arial" w:cs="Arial" w:eastAsia="Arial" w:hAnsi="Arial"/>
          <w:b/>
          <w:bCs/>
          <w:color w:val="1E3A5F"/>
          <w:sz w:val="32"/>
          <w:szCs w:val="32"/>
        </w:rPr>
        <w:t xml:space="preserve">1. Executive Summary</w:t>
      </w:r>
    </w:p>
    <w:p>
      <w:pPr>
        <w:spacing w:after="120"/>
      </w:pPr>
      <w:r>
        <w:rPr>
          <w:rFonts w:ascii="Arial" w:cs="Arial" w:eastAsia="Arial" w:hAnsi="Arial"/>
          <w:color w:val="1F2937"/>
          <w:sz w:val="22"/>
          <w:szCs w:val="22"/>
        </w:rPr>
        <w:t xml:space="preserve">This report documents the end-to-end development of a Customer Churn Prediction system built using Python and the scikit-learn machine learning library. The project goal was to build a production-ready binary classifier that identifies customers at risk of churning, enabling proactive retention strategies.</w:t>
      </w:r>
    </w:p>
    <w:p>
      <w:pPr>
        <w:spacing w:after="80"/>
      </w:pPr>
      <w:r>
        <w:t xml:space="preserve"/>
      </w:r>
    </w:p>
    <w:p>
      <w:pPr>
        <w:spacing w:after="120"/>
      </w:pPr>
      <w:r>
        <w:rPr>
          <w:rFonts w:ascii="Arial" w:cs="Arial" w:eastAsia="Arial" w:hAnsi="Arial"/>
          <w:color w:val="1F2937"/>
          <w:sz w:val="22"/>
          <w:szCs w:val="22"/>
        </w:rPr>
        <w:t xml:space="preserve">The final pipeline ingests a 2,000-record synthetic Telco-style dataset, applies robust preprocessing and feature engineering, trains three candidate models, and selects the best by ROC-AUC score. The winning model — Logistic Regression — achieved a ROC-AUC of 0.765, correctly identifying 73% of test cases. All model artifacts are persisted for downstream inference.</w:t>
      </w:r>
    </w:p>
    <w:p>
      <w:pPr>
        <w:spacing w:after="80"/>
      </w:pPr>
      <w:r>
        <w:t xml:space="preserve"/>
      </w:r>
    </w:p>
    <w:p>
      <w:pPr>
        <w:pStyle w:val="Heading1"/>
        <w:pBdr>
          <w:bottom w:val="single" w:color="2E75B6" w:sz="4" w:space="4"/>
        </w:pBdr>
        <w:spacing w:after="160" w:before="360"/>
      </w:pPr>
      <w:r>
        <w:rPr>
          <w:rFonts w:ascii="Arial" w:cs="Arial" w:eastAsia="Arial" w:hAnsi="Arial"/>
          <w:b/>
          <w:bCs/>
          <w:color w:val="1E3A5F"/>
          <w:sz w:val="32"/>
          <w:szCs w:val="32"/>
        </w:rPr>
        <w:t xml:space="preserve">2. Problem Statement</w:t>
      </w:r>
    </w:p>
    <w:p>
      <w:pPr>
        <w:spacing w:after="120"/>
      </w:pPr>
      <w:r>
        <w:rPr>
          <w:rFonts w:ascii="Arial" w:cs="Arial" w:eastAsia="Arial" w:hAnsi="Arial"/>
          <w:color w:val="1F2937"/>
          <w:sz w:val="22"/>
          <w:szCs w:val="22"/>
        </w:rPr>
        <w:t xml:space="preserve">Customer churn is a critical business metric in subscription-based industries such as telecommunications. Acquiring a new customer costs 5–7× more than retaining an existing one. Early identification of at-risk customers allows businesses to intervene with targeted offers, improved service, or personalised outreach before cancellation.</w:t>
      </w:r>
    </w:p>
    <w:p>
      <w:pPr>
        <w:spacing w:after="80"/>
      </w:pPr>
      <w:r>
        <w:t xml:space="preserve"/>
      </w:r>
    </w:p>
    <w:p>
      <w:pPr>
        <w:pStyle w:val="Heading2"/>
        <w:spacing w:after="120" w:before="280"/>
      </w:pPr>
      <w:r>
        <w:rPr>
          <w:rFonts w:ascii="Arial" w:cs="Arial" w:eastAsia="Arial" w:hAnsi="Arial"/>
          <w:b/>
          <w:bCs/>
          <w:color w:val="2E75B6"/>
          <w:sz w:val="26"/>
          <w:szCs w:val="26"/>
        </w:rPr>
        <w:t xml:space="preserve">2.1 Objectives</w:t>
      </w:r>
    </w:p>
    <w:p>
      <w:pPr>
        <w:pStyle w:val="ListParagraph"/>
        <w:numPr>
          <w:ilvl w:val="0"/>
          <w:numId w:val="2"/>
        </w:numPr>
        <w:spacing w:after="80"/>
      </w:pPr>
      <w:r>
        <w:rPr>
          <w:rFonts w:ascii="Arial" w:cs="Arial" w:eastAsia="Arial" w:hAnsi="Arial"/>
          <w:color w:val="1F2937"/>
          <w:sz w:val="22"/>
          <w:szCs w:val="22"/>
        </w:rPr>
        <w:t xml:space="preserve">Build a binary classifier to predict Churn (Yes/No) from customer behavioural and demographic attributes.</w:t>
      </w:r>
    </w:p>
    <w:p>
      <w:pPr>
        <w:pStyle w:val="ListParagraph"/>
        <w:numPr>
          <w:ilvl w:val="0"/>
          <w:numId w:val="2"/>
        </w:numPr>
        <w:spacing w:after="80"/>
      </w:pPr>
      <w:r>
        <w:rPr>
          <w:rFonts w:ascii="Arial" w:cs="Arial" w:eastAsia="Arial" w:hAnsi="Arial"/>
          <w:color w:val="1F2937"/>
          <w:sz w:val="22"/>
          <w:szCs w:val="22"/>
        </w:rPr>
        <w:t xml:space="preserve">Evaluate multiple ML algorithms and select the best based on ROC-AUC.</w:t>
      </w:r>
    </w:p>
    <w:p>
      <w:pPr>
        <w:pStyle w:val="ListParagraph"/>
        <w:numPr>
          <w:ilvl w:val="0"/>
          <w:numId w:val="2"/>
        </w:numPr>
        <w:spacing w:after="80"/>
      </w:pPr>
      <w:r>
        <w:rPr>
          <w:rFonts w:ascii="Arial" w:cs="Arial" w:eastAsia="Arial" w:hAnsi="Arial"/>
          <w:color w:val="1F2937"/>
          <w:sz w:val="22"/>
          <w:szCs w:val="22"/>
        </w:rPr>
        <w:t xml:space="preserve">Produce interpretable outputs including risk scores and feature importances.</w:t>
      </w:r>
    </w:p>
    <w:p>
      <w:pPr>
        <w:pStyle w:val="ListParagraph"/>
        <w:numPr>
          <w:ilvl w:val="0"/>
          <w:numId w:val="2"/>
        </w:numPr>
        <w:spacing w:after="80"/>
      </w:pPr>
      <w:r>
        <w:rPr>
          <w:rFonts w:ascii="Arial" w:cs="Arial" w:eastAsia="Arial" w:hAnsi="Arial"/>
          <w:color w:val="1F2937"/>
          <w:sz w:val="22"/>
          <w:szCs w:val="22"/>
        </w:rPr>
        <w:t xml:space="preserve">Package the solution for immediate deployment and GitHub hosting.</w:t>
      </w:r>
    </w:p>
    <w:p>
      <w:pPr>
        <w:spacing w:after="80"/>
      </w:pPr>
      <w:r>
        <w:t xml:space="preserve"/>
      </w:r>
    </w:p>
    <w:p>
      <w:pPr>
        <w:pStyle w:val="Heading1"/>
        <w:pBdr>
          <w:bottom w:val="single" w:color="2E75B6" w:sz="4" w:space="4"/>
        </w:pBdr>
        <w:spacing w:after="160" w:before="360"/>
      </w:pPr>
      <w:r>
        <w:rPr>
          <w:rFonts w:ascii="Arial" w:cs="Arial" w:eastAsia="Arial" w:hAnsi="Arial"/>
          <w:b/>
          <w:bCs/>
          <w:color w:val="1E3A5F"/>
          <w:sz w:val="32"/>
          <w:szCs w:val="32"/>
        </w:rPr>
        <w:t xml:space="preserve">3. Dataset</w:t>
      </w:r>
    </w:p>
    <w:p>
      <w:pPr>
        <w:spacing w:after="120"/>
      </w:pPr>
      <w:r>
        <w:rPr>
          <w:rFonts w:ascii="Arial" w:cs="Arial" w:eastAsia="Arial" w:hAnsi="Arial"/>
          <w:color w:val="1F2937"/>
          <w:sz w:val="22"/>
          <w:szCs w:val="22"/>
        </w:rPr>
        <w:t xml:space="preserve">A synthetic Telco-style dataset was programmatically generated using NumPy with realistic churn probability logic. The dataset mimics real-world distributions from public telecommunications churn benchmarks.</w:t>
      </w:r>
    </w:p>
    <w:p>
      <w:pPr>
        <w:spacing w:after="80"/>
      </w:pPr>
      <w:r>
        <w:t xml:space="preserve"/>
      </w:r>
    </w:p>
    <w:p>
      <w:pPr>
        <w:pStyle w:val="Heading2"/>
        <w:spacing w:after="120" w:before="280"/>
      </w:pPr>
      <w:r>
        <w:rPr>
          <w:rFonts w:ascii="Arial" w:cs="Arial" w:eastAsia="Arial" w:hAnsi="Arial"/>
          <w:b/>
          <w:bCs/>
          <w:color w:val="2E75B6"/>
          <w:sz w:val="26"/>
          <w:szCs w:val="26"/>
        </w:rPr>
        <w:t xml:space="preserve">3.1 Dataset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Attribute</w:t>
            </w:r>
          </w:p>
        </w:tc>
        <w:tc>
          <w:tcPr>
            <w:tcW w:type="dxa" w:w="624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Total Records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2,000</w:t>
            </w:r>
          </w:p>
        </w:tc>
      </w:tr>
      <w:tr>
        <w:tc>
          <w:tcPr>
            <w:tcW w:type="dxa" w:w="31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Features</w:t>
            </w:r>
          </w:p>
        </w:tc>
        <w:tc>
          <w:tcPr>
            <w:tcW w:type="dxa" w:w="624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15 (14 input + 1 target)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Target Variable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Churn (binary: 0 = No, 1 = Yes)</w:t>
            </w:r>
          </w:p>
        </w:tc>
      </w:tr>
      <w:tr>
        <w:tc>
          <w:tcPr>
            <w:tcW w:type="dxa" w:w="31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Churn Rate</w:t>
            </w:r>
          </w:p>
        </w:tc>
        <w:tc>
          <w:tcPr>
            <w:tcW w:type="dxa" w:w="624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30.4%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Train Split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1,600 records (80%)</w:t>
            </w:r>
          </w:p>
        </w:tc>
      </w:tr>
      <w:tr>
        <w:tc>
          <w:tcPr>
            <w:tcW w:type="dxa" w:w="31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Test Split</w:t>
            </w:r>
          </w:p>
        </w:tc>
        <w:tc>
          <w:tcPr>
            <w:tcW w:type="dxa" w:w="624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400 records (20%)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Missing Values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0 (after imputation)</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3.2 Feature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tenure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Numeric</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Number of months as a customer</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MonthlyCharges</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Numeric</w:t>
            </w:r>
          </w:p>
        </w:tc>
        <w:tc>
          <w:tcPr>
            <w:tcW w:type="dxa" w:w="4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Monthly billing amount (USD)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TotalCharges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Numeric</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Cumulative total billed (USD)</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Contract</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Categorical</w:t>
            </w:r>
          </w:p>
        </w:tc>
        <w:tc>
          <w:tcPr>
            <w:tcW w:type="dxa" w:w="4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Month-to-month / One year / Two year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InternetService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Categorical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DSL / Fiber optic / None</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TechSupport</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Categorical</w:t>
            </w:r>
          </w:p>
        </w:tc>
        <w:tc>
          <w:tcPr>
            <w:tcW w:type="dxa" w:w="4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Yes / No / No internet service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OnlineSecurity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Categorical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Yes / No / No internet service</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PaymentMethod</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Categorical</w:t>
            </w:r>
          </w:p>
        </w:tc>
        <w:tc>
          <w:tcPr>
            <w:tcW w:type="dxa" w:w="4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Electronic check, Mailed check, etc.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SeniorCitizen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Binary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1 if customer is a senior citizen</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Partner / Dependents</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Binary</w:t>
            </w:r>
          </w:p>
        </w:tc>
        <w:tc>
          <w:tcPr>
            <w:tcW w:type="dxa" w:w="4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Yes / No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PhoneService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Binary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Yes / No</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PaperlessBilling</w:t>
            </w:r>
          </w:p>
        </w:tc>
        <w:tc>
          <w:tcPr>
            <w:tcW w:type="dxa" w:w="18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Binary</w:t>
            </w:r>
          </w:p>
        </w:tc>
        <w:tc>
          <w:tcPr>
            <w:tcW w:type="dxa" w:w="496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Yes / No</w:t>
            </w:r>
          </w:p>
        </w:tc>
      </w:tr>
    </w:tbl>
    <w:p>
      <w:pPr>
        <w:spacing w:after="80"/>
      </w:pPr>
      <w:r>
        <w:t xml:space="preserve"/>
      </w:r>
    </w:p>
    <w:p>
      <w:pPr>
        <w:pStyle w:val="Heading1"/>
        <w:pBdr>
          <w:bottom w:val="single" w:color="2E75B6" w:sz="4" w:space="4"/>
        </w:pBdr>
        <w:spacing w:after="160" w:before="360"/>
      </w:pPr>
      <w:r>
        <w:rPr>
          <w:rFonts w:ascii="Arial" w:cs="Arial" w:eastAsia="Arial" w:hAnsi="Arial"/>
          <w:b/>
          <w:bCs/>
          <w:color w:val="1E3A5F"/>
          <w:sz w:val="32"/>
          <w:szCs w:val="32"/>
        </w:rPr>
        <w:t xml:space="preserve">4. Methodology</w:t>
      </w:r>
    </w:p>
    <w:p>
      <w:pPr>
        <w:pStyle w:val="Heading2"/>
        <w:spacing w:after="120" w:before="280"/>
      </w:pPr>
      <w:r>
        <w:rPr>
          <w:rFonts w:ascii="Arial" w:cs="Arial" w:eastAsia="Arial" w:hAnsi="Arial"/>
          <w:b/>
          <w:bCs/>
          <w:color w:val="2E75B6"/>
          <w:sz w:val="26"/>
          <w:szCs w:val="26"/>
        </w:rPr>
        <w:t xml:space="preserve">4.1 Pipeline Architecture</w:t>
      </w:r>
    </w:p>
    <w:p>
      <w:pPr>
        <w:spacing w:after="120"/>
      </w:pPr>
      <w:r>
        <w:rPr>
          <w:rFonts w:ascii="Arial" w:cs="Arial" w:eastAsia="Arial" w:hAnsi="Arial"/>
          <w:color w:val="1F2937"/>
          <w:sz w:val="22"/>
          <w:szCs w:val="22"/>
        </w:rPr>
        <w:t xml:space="preserve">The project follows a modular pipeline architecture with four independent Python modules:</w:t>
      </w:r>
    </w:p>
    <w:p>
      <w:pPr>
        <w:pStyle w:val="ListParagraph"/>
        <w:numPr>
          <w:ilvl w:val="0"/>
          <w:numId w:val="2"/>
        </w:numPr>
        <w:spacing w:after="80"/>
      </w:pPr>
      <w:r>
        <w:rPr>
          <w:rFonts w:ascii="Arial" w:cs="Arial" w:eastAsia="Arial" w:hAnsi="Arial"/>
          <w:color w:val="1F2937"/>
          <w:sz w:val="22"/>
          <w:szCs w:val="22"/>
        </w:rPr>
        <w:t xml:space="preserve">preprocess.py — Data loading, cleaning, encoding, feature engineering, train/test split, scaling</w:t>
      </w:r>
    </w:p>
    <w:p>
      <w:pPr>
        <w:pStyle w:val="ListParagraph"/>
        <w:numPr>
          <w:ilvl w:val="0"/>
          <w:numId w:val="2"/>
        </w:numPr>
        <w:spacing w:after="80"/>
      </w:pPr>
      <w:r>
        <w:rPr>
          <w:rFonts w:ascii="Arial" w:cs="Arial" w:eastAsia="Arial" w:hAnsi="Arial"/>
          <w:color w:val="1F2937"/>
          <w:sz w:val="22"/>
          <w:szCs w:val="22"/>
        </w:rPr>
        <w:t xml:space="preserve">train.py — Model training for three algorithms with best-model selection by ROC-AUC</w:t>
      </w:r>
    </w:p>
    <w:p>
      <w:pPr>
        <w:pStyle w:val="ListParagraph"/>
        <w:numPr>
          <w:ilvl w:val="0"/>
          <w:numId w:val="2"/>
        </w:numPr>
        <w:spacing w:after="80"/>
      </w:pPr>
      <w:r>
        <w:rPr>
          <w:rFonts w:ascii="Arial" w:cs="Arial" w:eastAsia="Arial" w:hAnsi="Arial"/>
          <w:color w:val="1F2937"/>
          <w:sz w:val="22"/>
          <w:szCs w:val="22"/>
        </w:rPr>
        <w:t xml:space="preserve">evaluate.py — Comprehensive evaluation: metrics, ROC curve, confusion matrix, feature importance</w:t>
      </w:r>
    </w:p>
    <w:p>
      <w:pPr>
        <w:pStyle w:val="ListParagraph"/>
        <w:numPr>
          <w:ilvl w:val="0"/>
          <w:numId w:val="2"/>
        </w:numPr>
        <w:spacing w:after="80"/>
      </w:pPr>
      <w:r>
        <w:rPr>
          <w:rFonts w:ascii="Arial" w:cs="Arial" w:eastAsia="Arial" w:hAnsi="Arial"/>
          <w:color w:val="1F2937"/>
          <w:sz w:val="22"/>
          <w:szCs w:val="22"/>
        </w:rPr>
        <w:t xml:space="preserve">predict.py — Stateless inference on arbitrary new customer records</w:t>
      </w:r>
    </w:p>
    <w:p>
      <w:pPr>
        <w:spacing w:after="80"/>
      </w:pPr>
      <w:r>
        <w:t xml:space="preserve"/>
      </w:r>
    </w:p>
    <w:p>
      <w:pPr>
        <w:pStyle w:val="Heading2"/>
        <w:spacing w:after="120" w:before="280"/>
      </w:pPr>
      <w:r>
        <w:rPr>
          <w:rFonts w:ascii="Arial" w:cs="Arial" w:eastAsia="Arial" w:hAnsi="Arial"/>
          <w:b/>
          <w:bCs/>
          <w:color w:val="2E75B6"/>
          <w:sz w:val="26"/>
          <w:szCs w:val="26"/>
        </w:rPr>
        <w:t xml:space="preserve">4.2 Preprocessing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Step</w:t>
            </w:r>
          </w:p>
        </w:tc>
        <w:tc>
          <w:tcPr>
            <w:tcW w:type="dxa" w:w="624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Drop 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customerID column removed (non-predictive)</w:t>
            </w:r>
          </w:p>
        </w:tc>
      </w:tr>
      <w:tr>
        <w:tc>
          <w:tcPr>
            <w:tcW w:type="dxa" w:w="31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Type Coercion</w:t>
            </w:r>
          </w:p>
        </w:tc>
        <w:tc>
          <w:tcPr>
            <w:tcW w:type="dxa" w:w="624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TotalCharges cast to float; errors coerced to NaN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Imputation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Missing TotalCharges filled with column median</w:t>
            </w:r>
          </w:p>
        </w:tc>
      </w:tr>
      <w:tr>
        <w:tc>
          <w:tcPr>
            <w:tcW w:type="dxa" w:w="31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Binary Encoding</w:t>
            </w:r>
          </w:p>
        </w:tc>
        <w:tc>
          <w:tcPr>
            <w:tcW w:type="dxa" w:w="624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Yes/No columns mapped to 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One-Hot Encoding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Multi-category columns expanded with drop_first=True</w:t>
            </w:r>
          </w:p>
        </w:tc>
      </w:tr>
      <w:tr>
        <w:tc>
          <w:tcPr>
            <w:tcW w:type="dxa" w:w="31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Feature: AvgMonthlySpend</w:t>
            </w:r>
          </w:p>
        </w:tc>
        <w:tc>
          <w:tcPr>
            <w:tcW w:type="dxa" w:w="624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TotalCharges / (tenure + 1) — proxy for billing pattern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Feature: TenureGroup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Tenure binned into 4 ordinal groups: 0–12, 12–24, 24–48, 48–72</w:t>
            </w:r>
          </w:p>
        </w:tc>
      </w:tr>
      <w:tr>
        <w:tc>
          <w:tcPr>
            <w:tcW w:type="dxa" w:w="31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Scaling</w:t>
            </w:r>
          </w:p>
        </w:tc>
        <w:tc>
          <w:tcPr>
            <w:tcW w:type="dxa" w:w="624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StandardScaler fit on train, applied to test (no leakage)</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4.3 Models Trained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Model</w:t>
            </w:r>
          </w:p>
        </w:tc>
        <w:tc>
          <w:tcPr>
            <w:tcW w:type="dxa" w:w="624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 Hyperparameters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Logistic Regression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max_iter=1000, random_state=42</w:t>
            </w:r>
          </w:p>
        </w:tc>
      </w:tr>
      <w:tr>
        <w:tc>
          <w:tcPr>
            <w:tcW w:type="dxa" w:w="31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Random Forest</w:t>
            </w:r>
          </w:p>
        </w:tc>
        <w:tc>
          <w:tcPr>
            <w:tcW w:type="dxa" w:w="624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n_estimators=200, max_depth=10, n_jobs=-1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Gradient Boosting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n_estimators=200, learning_rate=0.05, max_depth=4</w:t>
            </w:r>
          </w:p>
        </w:tc>
      </w:tr>
    </w:tbl>
    <w:p>
      <w:pPr>
        <w:spacing w:after="80"/>
      </w:pPr>
      <w:r>
        <w:t xml:space="preserve"/>
      </w:r>
    </w:p>
    <w:p>
      <w:pPr>
        <w:pStyle w:val="Heading1"/>
        <w:pBdr>
          <w:bottom w:val="single" w:color="2E75B6" w:sz="4" w:space="4"/>
        </w:pBdr>
        <w:spacing w:after="160" w:before="360"/>
      </w:pPr>
      <w:r>
        <w:rPr>
          <w:rFonts w:ascii="Arial" w:cs="Arial" w:eastAsia="Arial" w:hAnsi="Arial"/>
          <w:b/>
          <w:bCs/>
          <w:color w:val="1E3A5F"/>
          <w:sz w:val="32"/>
          <w:szCs w:val="32"/>
        </w:rPr>
        <w:t xml:space="preserve">5. Results &amp; Evaluation</w:t>
      </w:r>
    </w:p>
    <w:p>
      <w:pPr>
        <w:pStyle w:val="Heading2"/>
        <w:spacing w:after="120" w:before="280"/>
      </w:pPr>
      <w:r>
        <w:rPr>
          <w:rFonts w:ascii="Arial" w:cs="Arial" w:eastAsia="Arial" w:hAnsi="Arial"/>
          <w:b/>
          <w:bCs/>
          <w:color w:val="2E75B6"/>
          <w:sz w:val="26"/>
          <w:szCs w:val="26"/>
        </w:rPr>
        <w:t xml:space="preserve">5.1 Model Comparison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1808"/>
      </w:tblGrid>
      <w:tr>
        <w:trPr>
          <w:tblHeader/>
        </w:trPr>
        <w:tc>
          <w:tcPr>
            <w:tcW w:type="dxa" w:w="3744"/>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Model</w:t>
            </w:r>
          </w:p>
        </w:tc>
        <w:tc>
          <w:tcPr>
            <w:tcW w:type="dxa" w:w="2808"/>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ROC-AUC</w:t>
            </w:r>
          </w:p>
        </w:tc>
        <w:tc>
          <w:tcPr>
            <w:tcW w:type="dxa" w:w="1808"/>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Selected</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Logistic Regression</w:t>
            </w:r>
          </w:p>
        </w:tc>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0.7654</w:t>
            </w:r>
          </w:p>
        </w:tc>
        <w:tc>
          <w:tcPr>
            <w:tcW w:type="dxa" w:w="1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 Best</w:t>
            </w:r>
          </w:p>
        </w:tc>
      </w:tr>
      <w:tr>
        <w:tc>
          <w:tcPr>
            <w:tcW w:type="dxa" w:w="3744"/>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Random Forest</w:t>
            </w:r>
          </w:p>
        </w:tc>
        <w:tc>
          <w:tcPr>
            <w:tcW w:type="dxa" w:w="2808"/>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0.7297</w:t>
            </w:r>
          </w:p>
        </w:tc>
        <w:tc>
          <w:tcPr>
            <w:tcW w:type="dxa" w:w="1808"/>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Gradient Boosting</w:t>
            </w:r>
          </w:p>
        </w:tc>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0.6985</w:t>
            </w:r>
          </w:p>
        </w:tc>
        <w:tc>
          <w:tcPr>
            <w:tcW w:type="dxa" w:w="1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5.2 Classification Report — Logistic Regression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1404"/>
        <w:gridCol w:w="1404"/>
        <w:gridCol w:w="1808"/>
      </w:tblGrid>
      <w:tr>
        <w:trPr>
          <w:tblHeader/>
        </w:trPr>
        <w:tc>
          <w:tcPr>
            <w:tcW w:type="dxa" w:w="234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Class</w:t>
            </w:r>
          </w:p>
        </w:tc>
        <w:tc>
          <w:tcPr>
            <w:tcW w:type="dxa" w:w="1404"/>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Precision</w:t>
            </w:r>
          </w:p>
        </w:tc>
        <w:tc>
          <w:tcPr>
            <w:tcW w:type="dxa" w:w="1404"/>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Recall</w:t>
            </w:r>
          </w:p>
        </w:tc>
        <w:tc>
          <w:tcPr>
            <w:tcW w:type="dxa" w:w="1404"/>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F1-Score</w:t>
            </w:r>
          </w:p>
        </w:tc>
        <w:tc>
          <w:tcPr>
            <w:tcW w:type="dxa" w:w="1808"/>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Support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No Churn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0.75</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0.92</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0.83</w:t>
            </w:r>
          </w:p>
        </w:tc>
        <w:tc>
          <w:tcPr>
            <w:tcW w:type="dxa" w:w="1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278</w:t>
            </w:r>
          </w:p>
        </w:tc>
      </w:tr>
      <w:tr>
        <w:tc>
          <w:tcPr>
            <w:tcW w:type="dxa" w:w="234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Churn</w:t>
            </w:r>
          </w:p>
        </w:tc>
        <w:tc>
          <w:tcPr>
            <w:tcW w:type="dxa" w:w="1404"/>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0.62</w:t>
            </w:r>
          </w:p>
        </w:tc>
        <w:tc>
          <w:tcPr>
            <w:tcW w:type="dxa" w:w="1404"/>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0.29</w:t>
            </w:r>
          </w:p>
        </w:tc>
        <w:tc>
          <w:tcPr>
            <w:tcW w:type="dxa" w:w="1404"/>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0.39</w:t>
            </w:r>
          </w:p>
        </w:tc>
        <w:tc>
          <w:tcPr>
            <w:tcW w:type="dxa" w:w="1808"/>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122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Accuracy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0.73</w:t>
            </w:r>
          </w:p>
        </w:tc>
        <w:tc>
          <w:tcPr>
            <w:tcW w:type="dxa" w:w="1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400</w:t>
            </w:r>
          </w:p>
        </w:tc>
      </w:tr>
      <w:tr>
        <w:tc>
          <w:tcPr>
            <w:tcW w:type="dxa" w:w="234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Macro Avg</w:t>
            </w:r>
          </w:p>
        </w:tc>
        <w:tc>
          <w:tcPr>
            <w:tcW w:type="dxa" w:w="1404"/>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0.69</w:t>
            </w:r>
          </w:p>
        </w:tc>
        <w:tc>
          <w:tcPr>
            <w:tcW w:type="dxa" w:w="1404"/>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0.61</w:t>
            </w:r>
          </w:p>
        </w:tc>
        <w:tc>
          <w:tcPr>
            <w:tcW w:type="dxa" w:w="1404"/>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0.61</w:t>
            </w:r>
          </w:p>
        </w:tc>
        <w:tc>
          <w:tcPr>
            <w:tcW w:type="dxa" w:w="1808"/>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400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Weighted Avg</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0.71</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0.73</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0.69</w:t>
            </w:r>
          </w:p>
        </w:tc>
        <w:tc>
          <w:tcPr>
            <w:tcW w:type="dxa" w:w="1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400</w:t>
            </w:r>
          </w:p>
        </w:tc>
      </w:tr>
    </w:tbl>
    <w:p>
      <w:pPr>
        <w:spacing w:after="80"/>
      </w:pPr>
      <w:r>
        <w:t xml:space="preserve"/>
      </w:r>
    </w:p>
    <w:p>
      <w:pPr>
        <w:pStyle w:val="Heading2"/>
        <w:spacing w:after="120" w:before="280"/>
      </w:pPr>
      <w:r>
        <w:rPr>
          <w:rFonts w:ascii="Arial" w:cs="Arial" w:eastAsia="Arial" w:hAnsi="Arial"/>
          <w:b/>
          <w:bCs/>
          <w:color w:val="2E75B6"/>
          <w:sz w:val="26"/>
          <w:szCs w:val="26"/>
        </w:rPr>
        <w:t xml:space="preserve">5.3 Key Observations</w:t>
      </w:r>
    </w:p>
    <w:p>
      <w:pPr>
        <w:pStyle w:val="ListParagraph"/>
        <w:numPr>
          <w:ilvl w:val="0"/>
          <w:numId w:val="2"/>
        </w:numPr>
        <w:spacing w:after="80"/>
      </w:pPr>
      <w:r>
        <w:rPr>
          <w:rFonts w:ascii="Arial" w:cs="Arial" w:eastAsia="Arial" w:hAnsi="Arial"/>
          <w:color w:val="1F2937"/>
          <w:sz w:val="22"/>
          <w:szCs w:val="22"/>
        </w:rPr>
        <w:t xml:space="preserve">The model achieves strong recall (0.92) for No Churn — correctly retaining non-churners with high confidence.</w:t>
      </w:r>
    </w:p>
    <w:p>
      <w:pPr>
        <w:pStyle w:val="ListParagraph"/>
        <w:numPr>
          <w:ilvl w:val="0"/>
          <w:numId w:val="2"/>
        </w:numPr>
        <w:spacing w:after="80"/>
      </w:pPr>
      <w:r>
        <w:rPr>
          <w:rFonts w:ascii="Arial" w:cs="Arial" w:eastAsia="Arial" w:hAnsi="Arial"/>
          <w:color w:val="1F2937"/>
          <w:sz w:val="22"/>
          <w:szCs w:val="22"/>
        </w:rPr>
        <w:t xml:space="preserve">Churn recall (0.29) is lower, reflecting the class imbalance (70:30). Techniques such as SMOTE or class_weight='balanced' could improve this.</w:t>
      </w:r>
    </w:p>
    <w:p>
      <w:pPr>
        <w:pStyle w:val="ListParagraph"/>
        <w:numPr>
          <w:ilvl w:val="0"/>
          <w:numId w:val="2"/>
        </w:numPr>
        <w:spacing w:after="80"/>
      </w:pPr>
      <w:r>
        <w:rPr>
          <w:rFonts w:ascii="Arial" w:cs="Arial" w:eastAsia="Arial" w:hAnsi="Arial"/>
          <w:color w:val="1F2937"/>
          <w:sz w:val="22"/>
          <w:szCs w:val="22"/>
        </w:rPr>
        <w:t xml:space="preserve">ROC-AUC of 0.765 demonstrates useful discriminative ability above the 0.5 random baseline.</w:t>
      </w:r>
    </w:p>
    <w:p>
      <w:pPr>
        <w:pStyle w:val="ListParagraph"/>
        <w:numPr>
          <w:ilvl w:val="0"/>
          <w:numId w:val="2"/>
        </w:numPr>
        <w:spacing w:after="80"/>
      </w:pPr>
      <w:r>
        <w:rPr>
          <w:rFonts w:ascii="Arial" w:cs="Arial" w:eastAsia="Arial" w:hAnsi="Arial"/>
          <w:color w:val="1F2937"/>
          <w:sz w:val="22"/>
          <w:szCs w:val="22"/>
        </w:rPr>
        <w:t xml:space="preserve">Logistic Regression outperforms tree-based models on this dataset size, suggesting the decision boundary is largely linear.</w:t>
      </w:r>
    </w:p>
    <w:p>
      <w:pPr>
        <w:spacing w:after="80"/>
      </w:pPr>
      <w:r>
        <w:t xml:space="preserve"/>
      </w:r>
    </w:p>
    <w:p>
      <w:pPr>
        <w:pStyle w:val="Heading2"/>
        <w:spacing w:after="120" w:before="280"/>
      </w:pPr>
      <w:r>
        <w:rPr>
          <w:rFonts w:ascii="Arial" w:cs="Arial" w:eastAsia="Arial" w:hAnsi="Arial"/>
          <w:b/>
          <w:bCs/>
          <w:color w:val="2E75B6"/>
          <w:sz w:val="26"/>
          <w:szCs w:val="26"/>
        </w:rPr>
        <w:t xml:space="preserve">5.4 Sample Inference Output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2340"/>
        <w:gridCol w:w="2276"/>
      </w:tblGrid>
      <w:tr>
        <w:trPr>
          <w:tblHeader/>
        </w:trPr>
        <w:tc>
          <w:tcPr>
            <w:tcW w:type="dxa" w:w="1872"/>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Customer ID</w:t>
            </w:r>
          </w:p>
        </w:tc>
        <w:tc>
          <w:tcPr>
            <w:tcW w:type="dxa" w:w="1872"/>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Prediction</w:t>
            </w:r>
          </w:p>
        </w:tc>
        <w:tc>
          <w:tcPr>
            <w:tcW w:type="dxa" w:w="234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Churn Probability</w:t>
            </w:r>
          </w:p>
        </w:tc>
        <w:tc>
          <w:tcPr>
            <w:tcW w:type="dxa" w:w="2276"/>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Risk Level</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NEW-001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Churn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82.6%</w:t>
            </w:r>
          </w:p>
        </w:tc>
        <w:tc>
          <w:tcPr>
            <w:tcW w:type="dxa" w:w="22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High</w:t>
            </w:r>
          </w:p>
        </w:tc>
      </w:tr>
      <w:tr>
        <w:tc>
          <w:tcPr>
            <w:tcW w:type="dxa" w:w="1872"/>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NEW-002</w:t>
            </w:r>
          </w:p>
        </w:tc>
        <w:tc>
          <w:tcPr>
            <w:tcW w:type="dxa" w:w="1872"/>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No Churn</w:t>
            </w:r>
          </w:p>
        </w:tc>
        <w:tc>
          <w:tcPr>
            <w:tcW w:type="dxa" w:w="234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14.0%</w:t>
            </w:r>
          </w:p>
        </w:tc>
        <w:tc>
          <w:tcPr>
            <w:tcW w:type="dxa" w:w="2276"/>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Low</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NEW-003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No Churn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3.7%</w:t>
            </w:r>
          </w:p>
        </w:tc>
        <w:tc>
          <w:tcPr>
            <w:tcW w:type="dxa" w:w="22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Low</w:t>
            </w:r>
          </w:p>
        </w:tc>
      </w:tr>
    </w:tbl>
    <w:p>
      <w:pPr>
        <w:spacing w:after="80"/>
      </w:pPr>
      <w:r>
        <w:t xml:space="preserve"/>
      </w:r>
    </w:p>
    <w:p>
      <w:pPr>
        <w:spacing w:after="120"/>
      </w:pPr>
      <w:r>
        <w:rPr>
          <w:rFonts w:ascii="Arial" w:cs="Arial" w:eastAsia="Arial" w:hAnsi="Arial"/>
          <w:color w:val="1F2937"/>
          <w:sz w:val="22"/>
          <w:szCs w:val="22"/>
        </w:rPr>
        <w:t xml:space="preserve">NEW-001 (Month-to-month contract, 2 months tenure, Fiber optic) was correctly flagged as high-risk. NEW-002 and NEW-003 with longer tenures and more stable contracts scored as low-risk.</w:t>
      </w:r>
    </w:p>
    <w:p>
      <w:pPr>
        <w:spacing w:after="80"/>
      </w:pPr>
      <w:r>
        <w:t xml:space="preserve"/>
      </w:r>
    </w:p>
    <w:p>
      <w:pPr>
        <w:pStyle w:val="Heading1"/>
        <w:pBdr>
          <w:bottom w:val="single" w:color="2E75B6" w:sz="4" w:space="4"/>
        </w:pBdr>
        <w:spacing w:after="160" w:before="360"/>
      </w:pPr>
      <w:r>
        <w:rPr>
          <w:rFonts w:ascii="Arial" w:cs="Arial" w:eastAsia="Arial" w:hAnsi="Arial"/>
          <w:b/>
          <w:bCs/>
          <w:color w:val="1E3A5F"/>
          <w:sz w:val="32"/>
          <w:szCs w:val="32"/>
        </w:rPr>
        <w:t xml:space="preserve">6.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40"/>
        <w:gridCol w:w="3120"/>
      </w:tblGrid>
      <w:tr>
        <w:trPr>
          <w:tblHeader/>
        </w:trPr>
        <w:tc>
          <w:tcPr>
            <w:tcW w:type="dxa" w:w="2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w:t>
            </w:r>
          </w:p>
        </w:tc>
        <w:tc>
          <w:tcPr>
            <w:tcW w:type="dxa" w:w="364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Library / Tool</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Version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Language</w:t>
            </w:r>
          </w:p>
        </w:tc>
        <w:tc>
          <w:tcPr>
            <w:tcW w:type="dxa" w:w="3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Python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3.12</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ML Framework</w:t>
            </w:r>
          </w:p>
        </w:tc>
        <w:tc>
          <w:tcPr>
            <w:tcW w:type="dxa" w:w="364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scikit-learn</w:t>
            </w:r>
          </w:p>
        </w:tc>
        <w:tc>
          <w:tcPr>
            <w:tcW w:type="dxa" w:w="31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 1.3.0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Data Processing</w:t>
            </w:r>
          </w:p>
        </w:tc>
        <w:tc>
          <w:tcPr>
            <w:tcW w:type="dxa" w:w="3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pandas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 2.0.0</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Numerical Computing</w:t>
            </w:r>
          </w:p>
        </w:tc>
        <w:tc>
          <w:tcPr>
            <w:tcW w:type="dxa" w:w="364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NumPy</w:t>
            </w:r>
          </w:p>
        </w:tc>
        <w:tc>
          <w:tcPr>
            <w:tcW w:type="dxa" w:w="31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 1.24.0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Visualisation</w:t>
            </w:r>
          </w:p>
        </w:tc>
        <w:tc>
          <w:tcPr>
            <w:tcW w:type="dxa" w:w="3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matplotlib, seaborn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 3.7.0 / ≥ 0.12.0</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Model Persistence</w:t>
            </w:r>
          </w:p>
        </w:tc>
        <w:tc>
          <w:tcPr>
            <w:tcW w:type="dxa" w:w="364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joblib</w:t>
            </w:r>
          </w:p>
        </w:tc>
        <w:tc>
          <w:tcPr>
            <w:tcW w:type="dxa" w:w="31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 1.3.0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Notebook</w:t>
            </w:r>
          </w:p>
        </w:tc>
        <w:tc>
          <w:tcPr>
            <w:tcW w:type="dxa" w:w="3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Jupyter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Any</w:t>
            </w:r>
          </w:p>
        </w:tc>
      </w:tr>
    </w:tbl>
    <w:p>
      <w:pPr>
        <w:spacing w:after="80"/>
      </w:pPr>
      <w:r>
        <w:t xml:space="preserve"/>
      </w:r>
    </w:p>
    <w:p>
      <w:pPr>
        <w:pStyle w:val="Heading1"/>
        <w:pBdr>
          <w:bottom w:val="single" w:color="2E75B6" w:sz="4" w:space="4"/>
        </w:pBdr>
        <w:spacing w:after="160" w:before="360"/>
      </w:pPr>
      <w:r>
        <w:rPr>
          <w:rFonts w:ascii="Arial" w:cs="Arial" w:eastAsia="Arial" w:hAnsi="Arial"/>
          <w:b/>
          <w:bCs/>
          <w:color w:val="1E3A5F"/>
          <w:sz w:val="32"/>
          <w:szCs w:val="32"/>
        </w:rPr>
        <w:t xml:space="preserve">7. Project Structure</w:t>
      </w:r>
    </w:p>
    <w:p>
      <w:pPr>
        <w:shd w:fill="F3F4F6" w:val="clear"/>
        <w:spacing w:after="120"/>
      </w:pPr>
      <w:r>
        <w:rPr>
          <w:rFonts w:ascii="Courier New" w:cs="Courier New" w:eastAsia="Courier New" w:hAnsi="Courier New"/>
          <w:color w:val="1F2937"/>
          <w:sz w:val="18"/>
          <w:szCs w:val="18"/>
        </w:rPr>
        <w:t xml:space="preserve">customer-churn-prediction/
├── data/
│   ├── churn_data.csv          ← 2,000-record synthetic dataset
│   └── generate_data.py        ← Reproducible data generation script
├── notebooks/
│   └── eda_and_modeling.ipynb  ← EDA walkthrough + interactive modeling
├── src/
│   ├── preprocess.py           ← Full preprocessing pipeline
│   ├── train.py                ← Multi-model training &amp; selection
│   ├── evaluate.py             ← Metrics, plots, reports
│   └── predict.py              ← Inference on new customers
├── models/                     ← Saved model artifacts (*.pkl)
├── reports/                    ← Auto-generated charts &amp; metrics
├── requirements.txt
├── .gitignore
└── README.md</w:t>
      </w:r>
    </w:p>
    <w:p>
      <w:pPr>
        <w:spacing w:after="80"/>
      </w:pPr>
      <w:r>
        <w:t xml:space="preserve"/>
      </w:r>
    </w:p>
    <w:p>
      <w:pPr>
        <w:pStyle w:val="Heading1"/>
        <w:pBdr>
          <w:bottom w:val="single" w:color="2E75B6" w:sz="4" w:space="4"/>
        </w:pBdr>
        <w:spacing w:after="160" w:before="360"/>
      </w:pPr>
      <w:r>
        <w:rPr>
          <w:rFonts w:ascii="Arial" w:cs="Arial" w:eastAsia="Arial" w:hAnsi="Arial"/>
          <w:b/>
          <w:bCs/>
          <w:color w:val="1E3A5F"/>
          <w:sz w:val="32"/>
          <w:szCs w:val="32"/>
        </w:rPr>
        <w:t xml:space="preserve">8. How to Run</w:t>
      </w:r>
    </w:p>
    <w:p>
      <w:pPr>
        <w:pStyle w:val="Heading2"/>
        <w:spacing w:after="120" w:before="280"/>
      </w:pPr>
      <w:r>
        <w:rPr>
          <w:rFonts w:ascii="Arial" w:cs="Arial" w:eastAsia="Arial" w:hAnsi="Arial"/>
          <w:b/>
          <w:bCs/>
          <w:color w:val="2E75B6"/>
          <w:sz w:val="26"/>
          <w:szCs w:val="26"/>
        </w:rPr>
        <w:t xml:space="preserve">8.1 Setup</w:t>
      </w:r>
    </w:p>
    <w:p>
      <w:pPr>
        <w:spacing w:after="120"/>
      </w:pPr>
      <w:r>
        <w:rPr>
          <w:rFonts w:ascii="Courier New" w:cs="Courier New" w:eastAsia="Courier New" w:hAnsi="Courier New"/>
          <w:color w:val="1F2937"/>
          <w:sz w:val="18"/>
          <w:szCs w:val="18"/>
        </w:rPr>
        <w:t xml:space="preserve">git clone https://github.com/YOUR_USERNAME/customer-churn-prediction.git
cd customer-churn-prediction
pip install -r requirements.txt</w:t>
      </w:r>
    </w:p>
    <w:p>
      <w:pPr>
        <w:pStyle w:val="Heading2"/>
        <w:spacing w:after="120" w:before="280"/>
      </w:pPr>
      <w:r>
        <w:rPr>
          <w:rFonts w:ascii="Arial" w:cs="Arial" w:eastAsia="Arial" w:hAnsi="Arial"/>
          <w:b/>
          <w:bCs/>
          <w:color w:val="2E75B6"/>
          <w:sz w:val="26"/>
          <w:szCs w:val="26"/>
        </w:rPr>
        <w:t xml:space="preserve">8.2 Run the Full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120"/>
        <w:gridCol w:w="4368"/>
      </w:tblGrid>
      <w:tr>
        <w:trPr>
          <w:tblHeader/>
        </w:trPr>
        <w:tc>
          <w:tcPr>
            <w:tcW w:type="dxa" w:w="1872"/>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Step</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Command</w:t>
            </w:r>
          </w:p>
        </w:tc>
        <w:tc>
          <w:tcPr>
            <w:tcW w:type="dxa" w:w="4368"/>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Output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Generate 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python data/generate_data.py</w:t>
            </w:r>
          </w:p>
        </w:tc>
        <w:tc>
          <w:tcPr>
            <w:tcW w:type="dxa" w:w="436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data/churn_data.csv</w:t>
            </w:r>
          </w:p>
        </w:tc>
      </w:tr>
      <w:tr>
        <w:tc>
          <w:tcPr>
            <w:tcW w:type="dxa" w:w="1872"/>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Train models</w:t>
            </w:r>
          </w:p>
        </w:tc>
        <w:tc>
          <w:tcPr>
            <w:tcW w:type="dxa" w:w="31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python src/train.py</w:t>
            </w:r>
          </w:p>
        </w:tc>
        <w:tc>
          <w:tcPr>
            <w:tcW w:type="dxa" w:w="4368"/>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models/churn_model.pkl</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Evaluate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python src/evaluate.py</w:t>
            </w:r>
          </w:p>
        </w:tc>
        <w:tc>
          <w:tcPr>
            <w:tcW w:type="dxa" w:w="436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reports/*.png + *.txt</w:t>
            </w:r>
          </w:p>
        </w:tc>
      </w:tr>
      <w:tr>
        <w:tc>
          <w:tcPr>
            <w:tcW w:type="dxa" w:w="1872"/>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Predict</w:t>
            </w:r>
          </w:p>
        </w:tc>
        <w:tc>
          <w:tcPr>
            <w:tcW w:type="dxa" w:w="312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python src/predict.py</w:t>
            </w:r>
          </w:p>
        </w:tc>
        <w:tc>
          <w:tcPr>
            <w:tcW w:type="dxa" w:w="4368"/>
            <w:tcBorders>
              <w:top w:val="single" w:color="CCCCCC" w:sz="1"/>
              <w:left w:val="single" w:color="CCCCCC" w:sz="1"/>
              <w:bottom w:val="single" w:color="CCCCCC" w:sz="1"/>
              <w:right w:val="single" w:color="CCCCCC" w:sz="1"/>
            </w:tcBorders>
            <w:shd w:fill="EAF2FB" w:val="clear"/>
            <w:tcMar>
              <w:top w:type="dxa" w:w="80"/>
              <w:left w:type="dxa" w:w="140"/>
              <w:bottom w:type="dxa" w:w="80"/>
              <w:right w:type="dxa" w:w="140"/>
            </w:tcMar>
            <w:vAlign w:val="center"/>
          </w:tcPr>
          <w:p>
            <w:pPr>
              <w:jc w:val="left"/>
            </w:pPr>
            <w:r>
              <w:rPr>
                <w:rFonts w:ascii="Arial" w:cs="Arial" w:eastAsia="Arial" w:hAnsi="Arial"/>
                <w:color w:val="1F2937"/>
                <w:sz w:val="20"/>
                <w:szCs w:val="20"/>
              </w:rPr>
              <w:t xml:space="preserve">Risk scores to console</w:t>
            </w:r>
          </w:p>
        </w:tc>
      </w:tr>
    </w:tbl>
    <w:p>
      <w:pPr>
        <w:spacing w:after="80"/>
      </w:pPr>
      <w:r>
        <w:t xml:space="preserve"/>
      </w:r>
    </w:p>
    <w:p>
      <w:pPr>
        <w:pStyle w:val="Heading1"/>
        <w:pBdr>
          <w:bottom w:val="single" w:color="2E75B6" w:sz="4" w:space="4"/>
        </w:pBdr>
        <w:spacing w:after="160" w:before="360"/>
      </w:pPr>
      <w:r>
        <w:rPr>
          <w:rFonts w:ascii="Arial" w:cs="Arial" w:eastAsia="Arial" w:hAnsi="Arial"/>
          <w:b/>
          <w:bCs/>
          <w:color w:val="1E3A5F"/>
          <w:sz w:val="32"/>
          <w:szCs w:val="32"/>
        </w:rPr>
        <w:t xml:space="preserve">9. Future Work &amp; Improvements</w:t>
      </w:r>
    </w:p>
    <w:p>
      <w:pPr>
        <w:pStyle w:val="ListParagraph"/>
        <w:numPr>
          <w:ilvl w:val="0"/>
          <w:numId w:val="2"/>
        </w:numPr>
        <w:spacing w:after="80"/>
      </w:pPr>
      <w:r>
        <w:rPr>
          <w:rFonts w:ascii="Arial" w:cs="Arial" w:eastAsia="Arial" w:hAnsi="Arial"/>
          <w:color w:val="1F2937"/>
          <w:sz w:val="22"/>
          <w:szCs w:val="22"/>
        </w:rPr>
        <w:t xml:space="preserve">Class Imbalance — Apply SMOTE (imbalanced-learn) or class_weight='balanced' to boost churn recall.</w:t>
      </w:r>
    </w:p>
    <w:p>
      <w:pPr>
        <w:pStyle w:val="ListParagraph"/>
        <w:numPr>
          <w:ilvl w:val="0"/>
          <w:numId w:val="2"/>
        </w:numPr>
        <w:spacing w:after="80"/>
      </w:pPr>
      <w:r>
        <w:rPr>
          <w:rFonts w:ascii="Arial" w:cs="Arial" w:eastAsia="Arial" w:hAnsi="Arial"/>
          <w:color w:val="1F2937"/>
          <w:sz w:val="22"/>
          <w:szCs w:val="22"/>
        </w:rPr>
        <w:t xml:space="preserve">Hyperparameter Tuning — Use GridSearchCV or Optuna for systematic parameter optimisation.</w:t>
      </w:r>
    </w:p>
    <w:p>
      <w:pPr>
        <w:pStyle w:val="ListParagraph"/>
        <w:numPr>
          <w:ilvl w:val="0"/>
          <w:numId w:val="2"/>
        </w:numPr>
        <w:spacing w:after="80"/>
      </w:pPr>
      <w:r>
        <w:rPr>
          <w:rFonts w:ascii="Arial" w:cs="Arial" w:eastAsia="Arial" w:hAnsi="Arial"/>
          <w:color w:val="1F2937"/>
          <w:sz w:val="22"/>
          <w:szCs w:val="22"/>
        </w:rPr>
        <w:t xml:space="preserve">Additional Models — Evaluate XGBoost, LightGBM, and CatBoost for potential accuracy gains.</w:t>
      </w:r>
    </w:p>
    <w:p>
      <w:pPr>
        <w:pStyle w:val="ListParagraph"/>
        <w:numPr>
          <w:ilvl w:val="0"/>
          <w:numId w:val="2"/>
        </w:numPr>
        <w:spacing w:after="80"/>
      </w:pPr>
      <w:r>
        <w:rPr>
          <w:rFonts w:ascii="Arial" w:cs="Arial" w:eastAsia="Arial" w:hAnsi="Arial"/>
          <w:color w:val="1F2937"/>
          <w:sz w:val="22"/>
          <w:szCs w:val="22"/>
        </w:rPr>
        <w:t xml:space="preserve">Cross-Validation — Replace single train/test split with 5-fold stratified cross-validation.</w:t>
      </w:r>
    </w:p>
    <w:p>
      <w:pPr>
        <w:pStyle w:val="ListParagraph"/>
        <w:numPr>
          <w:ilvl w:val="0"/>
          <w:numId w:val="2"/>
        </w:numPr>
        <w:spacing w:after="80"/>
      </w:pPr>
      <w:r>
        <w:rPr>
          <w:rFonts w:ascii="Arial" w:cs="Arial" w:eastAsia="Arial" w:hAnsi="Arial"/>
          <w:color w:val="1F2937"/>
          <w:sz w:val="22"/>
          <w:szCs w:val="22"/>
        </w:rPr>
        <w:t xml:space="preserve">SHAP Explainability — Add SHAP values for per-prediction explanations beyond aggregate feature importance.</w:t>
      </w:r>
    </w:p>
    <w:p>
      <w:pPr>
        <w:pStyle w:val="ListParagraph"/>
        <w:numPr>
          <w:ilvl w:val="0"/>
          <w:numId w:val="2"/>
        </w:numPr>
        <w:spacing w:after="80"/>
      </w:pPr>
      <w:r>
        <w:rPr>
          <w:rFonts w:ascii="Arial" w:cs="Arial" w:eastAsia="Arial" w:hAnsi="Arial"/>
          <w:color w:val="1F2937"/>
          <w:sz w:val="22"/>
          <w:szCs w:val="22"/>
        </w:rPr>
        <w:t xml:space="preserve">REST API — Wrap predict.py in a FastAPI endpoint for real-time inference.</w:t>
      </w:r>
    </w:p>
    <w:p>
      <w:pPr>
        <w:pStyle w:val="ListParagraph"/>
        <w:numPr>
          <w:ilvl w:val="0"/>
          <w:numId w:val="2"/>
        </w:numPr>
        <w:spacing w:after="80"/>
      </w:pPr>
      <w:r>
        <w:rPr>
          <w:rFonts w:ascii="Arial" w:cs="Arial" w:eastAsia="Arial" w:hAnsi="Arial"/>
          <w:color w:val="1F2937"/>
          <w:sz w:val="22"/>
          <w:szCs w:val="22"/>
        </w:rPr>
        <w:t xml:space="preserve">Monitoring — Add data drift detection (e.g., Evidently AI) for production use.</w:t>
      </w:r>
    </w:p>
    <w:p>
      <w:pPr>
        <w:spacing w:after="80"/>
      </w:pPr>
      <w:r>
        <w:t xml:space="preserve"/>
      </w:r>
    </w:p>
    <w:p>
      <w:pPr>
        <w:pStyle w:val="Heading1"/>
        <w:pBdr>
          <w:bottom w:val="single" w:color="2E75B6" w:sz="4" w:space="4"/>
        </w:pBdr>
        <w:spacing w:after="160" w:before="360"/>
      </w:pPr>
      <w:r>
        <w:rPr>
          <w:rFonts w:ascii="Arial" w:cs="Arial" w:eastAsia="Arial" w:hAnsi="Arial"/>
          <w:b/>
          <w:bCs/>
          <w:color w:val="1E3A5F"/>
          <w:sz w:val="32"/>
          <w:szCs w:val="32"/>
        </w:rPr>
        <w:t xml:space="preserve">10. Conclusion</w:t>
      </w:r>
    </w:p>
    <w:p>
      <w:pPr>
        <w:spacing w:after="120"/>
      </w:pPr>
      <w:r>
        <w:rPr>
          <w:rFonts w:ascii="Arial" w:cs="Arial" w:eastAsia="Arial" w:hAnsi="Arial"/>
          <w:color w:val="1F2937"/>
          <w:sz w:val="22"/>
          <w:szCs w:val="22"/>
        </w:rPr>
        <w:t xml:space="preserve">This project successfully delivered a complete, modular, and GitHub-ready Customer Churn Prediction system. The pipeline covers every stage from raw data to inference: synthetic data generation, preprocessing, multi-model training with automatic selection, comprehensive evaluation, and stateless prediction.</w:t>
      </w:r>
    </w:p>
    <w:p>
      <w:pPr>
        <w:spacing w:after="80"/>
      </w:pPr>
      <w:r>
        <w:t xml:space="preserve"/>
      </w:r>
    </w:p>
    <w:p>
      <w:pPr>
        <w:spacing w:after="120"/>
      </w:pPr>
      <w:r>
        <w:rPr>
          <w:rFonts w:ascii="Arial" w:cs="Arial" w:eastAsia="Arial" w:hAnsi="Arial"/>
          <w:color w:val="1F2937"/>
          <w:sz w:val="22"/>
          <w:szCs w:val="22"/>
        </w:rPr>
        <w:t xml:space="preserve">The best model — Logistic Regression with ROC-AUC 0.765 — provides a solid baseline for business deployment. The modular architecture makes it straightforward to swap in new models, retrain on real data, or extend with an API layer. All outputs are reproducible and well-documented for team handoff.</w:t>
      </w:r>
    </w:p>
    <w:p>
      <w:pPr>
        <w:spacing w:after="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jc w:val="center"/>
    </w:pPr>
    <w:r>
      <w:rPr>
        <w:rFonts w:ascii="Arial" w:cs="Arial" w:eastAsia="Arial" w:hAnsi="Arial"/>
        <w:color w:val="6B7280"/>
        <w:sz w:val="18"/>
        <w:szCs w:val="18"/>
      </w:rPr>
      <w:t xml:space="preserve">© 2026 ML Engineering Team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pPr>
    <w:r>
      <w:rPr>
        <w:rFonts w:ascii="Arial" w:cs="Arial" w:eastAsia="Arial" w:hAnsi="Arial"/>
        <w:color w:val="6B7280"/>
        <w:sz w:val="18"/>
        <w:szCs w:val="18"/>
      </w:rPr>
      <w:t xml:space="preserve">Customer Churn Prediction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2026-06-12T19:13:50.570Z</dcterms:created>
  <dcterms:modified xsi:type="dcterms:W3CDTF">2026-06-12T19:13:50.570Z</dcterms:modified>
</cp:coreProperties>
</file>

<file path=docProps/custom.xml><?xml version="1.0" encoding="utf-8"?>
<Properties xmlns="http://schemas.openxmlformats.org/officeDocument/2006/custom-properties" xmlns:vt="http://schemas.openxmlformats.org/officeDocument/2006/docPropsVTypes"/>
</file>