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left"/>
      </w:pPr>
      <w:r>
        <w:rPr>
          <w:b/>
          <w:bCs/>
          <w:color w:val="2563EB"/>
          <w:spacing w:val="60"/>
          <w:sz w:val="24"/>
          <w:szCs w:val="24"/>
        </w:rPr>
        <w:t xml:space="preserve">PHASE 1</w:t>
      </w:r>
    </w:p>
    <w:p>
      <w:pPr>
        <w:spacing w:after="120" w:before="120"/>
      </w:pPr>
      <w:r>
        <w:rPr>
          <w:b/>
          <w:bCs/>
          <w:color w:val="1E3A8A"/>
          <w:sz w:val="56"/>
          <w:szCs w:val="56"/>
        </w:rPr>
        <w:t xml:space="preserve">Brainstorming &amp; Ideation</w:t>
      </w:r>
    </w:p>
    <w:p>
      <w:pPr>
        <w:spacing w:after="400"/>
      </w:pPr>
      <w:r>
        <w:rPr>
          <w:color w:val="4B5563"/>
          <w:sz w:val="26"/>
          <w:szCs w:val="26"/>
        </w:rPr>
        <w:t xml:space="preserve">Problem framing, personas, idea generation and scope decisions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EduGenie — Intelligent Academic Learning Assistant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 + Vite + Tailwind CSS v4 • Express.js (TypeScript) • Google Gemini (@google/genai)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author / team name]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GitHub repository URL]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spacing w:after="160" w:line="276"/>
      </w:pPr>
      <w:r>
        <w:t xml:space="preserve">EduGenie is an academic learning assistant that turns complex study material into something a student can actually use: clear answers, analogy-driven explanations, revision summaries, self-grading quizzes and phased learning roadmaps. It is a full-stack TypeScript application (React frontend, Express backend) that calls Google Gemini models through a server-side cascade, with an offline knowledge base as the last line of defence.</w:t>
      </w:r>
    </w:p>
    <w:p>
      <w:pPr>
        <w:pStyle w:val="Heading1"/>
        <w:spacing w:after="200" w:before="400"/>
      </w:pPr>
      <w:r>
        <w:t xml:space="preserve">2. Problem Statement</w:t>
      </w:r>
    </w:p>
    <w:p>
      <w:pPr>
        <w:spacing w:after="160" w:line="276"/>
      </w:pPr>
      <w:r>
        <w:t xml:space="preserve">Students routinely hit three problems when using general-purpose AI for studying: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Comprehension gap — answers are written for experts; students need analogies, scaffolding and key takeaways rather than dense prose.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Unusable output — raw model output arrives with stray Markdown artifacts, inconsistent structure and no way to test understanding.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Fragility — free-tier quotas, model retirements and outages make AI study tools fail exactly when a student needs them (exam week).</w:t>
      </w:r>
    </w:p>
    <w:tbl>
      <w:tblPr>
        <w:tblW w:type="dxa" w:w="9350"/>
        <w:tblBorders>
          <w:top w:val="single" w:color="F59E0B" w:sz="4"/>
          <w:left w:val="single" w:color="F59E0B" w:sz="24"/>
          <w:bottom w:val="single" w:color="F59E0B" w:sz="4"/>
          <w:right w:val="single" w:color="F59E0B" w:sz="4"/>
          <w:insideH w:val="none"/>
          <w:insideV w:val="none"/>
        </w:tblBorders>
      </w:tblPr>
      <w:tblGrid>
        <w:gridCol w:w="9350"/>
      </w:tblGrid>
      <w:tr>
        <w:tc>
          <w:tcPr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Problem statement (one line)</w:t>
            </w:r>
          </w:p>
          <w:p>
            <w:pPr>
              <w:spacing w:after="0"/>
            </w:pPr>
            <w:r>
              <w:rPr>
                <w:color w:val="78350F"/>
                <w:sz w:val="20"/>
                <w:szCs w:val="20"/>
              </w:rPr>
              <w:t xml:space="preserve">How might we give students fast, well-formatted, self-testing study support that keeps working even when the AI provider is rate-limited or offline?</w:t>
            </w:r>
          </w:p>
        </w:tc>
      </w:tr>
    </w:tbl>
    <w:p>
      <w:pPr>
        <w:spacing w:before="160"/>
      </w:pPr>
    </w:p>
    <w:p>
      <w:pPr>
        <w:pStyle w:val="Heading1"/>
        <w:spacing w:after="200" w:before="400"/>
      </w:pPr>
      <w:r>
        <w:t xml:space="preserve">3. Target Users &amp; Personas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100"/>
        <w:gridCol w:w="2700"/>
        <w:gridCol w:w="2600"/>
        <w:gridCol w:w="1950"/>
      </w:tblGrid>
      <w:tr>
        <w:trPr>
          <w:tblHeader/>
        </w:trPr>
        <w:tc>
          <w:tcPr>
            <w:tcW w:type="dxa" w:w="21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7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19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Modules they use most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Exam-prep undergraduate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Revising many chapters under time pressure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summaries and quick self-checks</w:t>
            </w:r>
          </w:p>
        </w:tc>
        <w:tc>
          <w:tcPr>
            <w:tcW w:type="dxa" w:w="1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Summarizer, Quiz, Q&amp;A</w:t>
            </w:r>
          </w:p>
        </w:tc>
      </w:tr>
      <w:tr>
        <w:tc>
          <w:tcPr>
            <w:tcW w:type="dxa" w:w="2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Self-learner</w:t>
            </w:r>
          </w:p>
        </w:tc>
        <w:tc>
          <w:tcPr>
            <w:tcW w:type="dxa" w:w="2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Picking up a new technical skill alone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structured path with timeframes</w:t>
            </w:r>
          </w:p>
        </w:tc>
        <w:tc>
          <w:tcPr>
            <w:tcW w:type="dxa" w:w="19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Roadmap, Explainer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Educator / tutor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Preparing material for a class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Ready-made explanations and MCQs</w:t>
            </w:r>
          </w:p>
        </w:tc>
        <w:tc>
          <w:tcPr>
            <w:tcW w:type="dxa" w:w="1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Explainer, Quiz, Summarizer</w:t>
            </w:r>
          </w:p>
        </w:tc>
      </w:tr>
    </w:tbl>
    <w:p>
      <w:pPr>
        <w:spacing w:before="160"/>
      </w:pPr>
    </w:p>
    <w:p>
      <w:pPr>
        <w:pStyle w:val="Heading3"/>
        <w:spacing w:after="120" w:before="240"/>
      </w:pPr>
      <w:r>
        <w:t xml:space="preserve">3.1 Empathy map — exam-prep undergraduate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300"/>
        <w:gridCol w:w="2400"/>
        <w:gridCol w:w="2500"/>
        <w:gridCol w:w="2150"/>
      </w:tblGrid>
      <w:tr>
        <w:trPr>
          <w:tblHeader/>
        </w:trPr>
        <w:tc>
          <w:tcPr>
            <w:tcW w:type="dxa" w:w="23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Says</w:t>
            </w:r>
          </w:p>
        </w:tc>
        <w:tc>
          <w:tcPr>
            <w:tcW w:type="dxa" w:w="24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Thinks</w:t>
            </w:r>
          </w:p>
        </w:tc>
        <w:tc>
          <w:tcPr>
            <w:tcW w:type="dxa" w:w="25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Does</w:t>
            </w:r>
          </w:p>
        </w:tc>
        <w:tc>
          <w:tcPr>
            <w:tcW w:type="dxa" w:w="21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Feels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“I don’t get this chapter.”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“I have too little time to read everything.”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Pastes notes into chat tools, rereads, cram-quizzes friends</w:t>
            </w:r>
          </w:p>
        </w:tc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Overwhelmed, anxious, distrustful of unformatted AI answers</w:t>
            </w:r>
          </w:p>
        </w:tc>
      </w:tr>
    </w:tbl>
    <w:p>
      <w:pPr>
        <w:pStyle w:val="Heading1"/>
        <w:spacing w:after="200" w:before="400"/>
      </w:pPr>
      <w:r>
        <w:t xml:space="preserve">4. Brainstorming Output</w:t>
      </w:r>
    </w:p>
    <w:p>
      <w:pPr>
        <w:pStyle w:val="Heading2"/>
        <w:spacing w:after="150" w:before="300"/>
      </w:pPr>
      <w:r>
        <w:t xml:space="preserve">4.1 Idea pool</w:t>
      </w:r>
    </w:p>
    <w:p>
      <w:pPr>
        <w:spacing w:after="160" w:line="276"/>
      </w:pPr>
      <w:r>
        <w:t xml:space="preserve">Ideas were generated per persona need, then scored on learner impact and build effort (High / Medium / Low).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500"/>
        <w:gridCol w:w="4650"/>
        <w:gridCol w:w="1000"/>
        <w:gridCol w:w="1000"/>
        <w:gridCol w:w="2200"/>
      </w:tblGrid>
      <w:tr>
        <w:trPr>
          <w:tblHeader/>
        </w:trPr>
        <w:tc>
          <w:tcPr>
            <w:tcW w:type="dxa" w:w="5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2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Instant Q&amp;A with structured bullet answers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 — build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 explainer using analogies + key takeaways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 — build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summarizer for revision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 — build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Auto-generated 3-question MCQ quiz with instant scoring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 — build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Phased Zero-to-Hero learning roadmap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 — build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6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Multi-model cascade + offline knowledge base for resilience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 — build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One-click scenario bar for demos and quick trials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 — build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6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In-app project Kanban / architecture inspector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 — build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accounts and saved history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6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tracking and streaks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Voice input / read-aloud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6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/ image upload for summarizing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Multilingual answers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6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LMS integration (Moodle / Google Classroom)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</w:tr>
    </w:tbl>
    <w:p>
      <w:pPr>
        <w:spacing w:before="160"/>
      </w:pPr>
    </w:p>
    <w:p>
      <w:pPr>
        <w:pStyle w:val="Heading2"/>
        <w:spacing w:after="150" w:before="300"/>
      </w:pPr>
      <w:r>
        <w:t xml:space="preserve">4.2 Prioritisation logic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Everything with High impact and Low/Medium effort that directly answers the problem statement goes into v1.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Resilience (idea 6) is a v1 requirement, not a nice-to-have: it is the differentiator against plain chat tools.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Anything needing persistence, accounts or file handling is deferred to keep v1 stateless and easy to deploy.</w:t>
      </w:r>
    </w:p>
    <w:p>
      <w:pPr>
        <w:pStyle w:val="Heading1"/>
        <w:spacing w:after="200" w:before="400"/>
      </w:pPr>
      <w:r>
        <w:t xml:space="preserve">5. Proposed Solution &amp; Value Proposition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65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in EduGenie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Student-centric prompting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prompts force analogies, real-world examples and beginner-friendly scaffolding.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 typography</w:t>
            </w:r>
          </w:p>
        </w:tc>
        <w:tc>
          <w:tcPr>
            <w:tcW w:type="dxa" w:w="6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Markdown rendered through marked + Tailwind .prose — no raw asterisks or misaligned lists.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learning tools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Self-grading quizzes and phased roadmaps with zero setup friction.</w:t>
            </w:r>
          </w:p>
        </w:tc>
      </w:tr>
      <w:tr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 &amp; resilience</w:t>
            </w:r>
          </w:p>
        </w:tc>
        <w:tc>
          <w:tcPr>
            <w:tcW w:type="dxa" w:w="6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Three-tier Gemini cascade plus an offline educational knowledge base.</w:t>
            </w:r>
          </w:p>
        </w:tc>
      </w:tr>
    </w:tbl>
    <w:p>
      <w:pPr>
        <w:pStyle w:val="Heading1"/>
        <w:spacing w:after="200" w:before="400"/>
      </w:pPr>
      <w:r>
        <w:t xml:space="preserve">6. Feasibility Study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3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</w:t>
            </w:r>
          </w:p>
        </w:tc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Feasible — mature stack (React, Express, Vite, official @google/genai SDK); no custom model training.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7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Node process serves API and built frontend; deployable to Cloud Run, Render or Railway.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Economic</w:t>
            </w:r>
          </w:p>
        </w:tc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API key is available free from Google AI Studio; no other paid dependencies. Free-tier quotas are the main limit.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</w:t>
            </w:r>
          </w:p>
        </w:tc>
        <w:tc>
          <w:tcPr>
            <w:tcW w:type="dxa" w:w="7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Five thin modules share one API pattern, so effort is dominated by UI polish and the fallback engine.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Quota exhaustion, model retirement, inaccurate AI content, secret leakage — see Phase 4 risk register.</w:t>
            </w:r>
          </w:p>
        </w:tc>
      </w:tr>
    </w:tbl>
    <w:p>
      <w:pPr>
        <w:pStyle w:val="Heading1"/>
        <w:spacing w:after="200" w:before="400"/>
      </w:pPr>
      <w:r>
        <w:t xml:space="preserve">7. Scope Statement</w:t>
      </w:r>
    </w:p>
    <w:p>
      <w:pPr>
        <w:pStyle w:val="Heading3"/>
        <w:spacing w:after="120" w:before="240"/>
      </w:pPr>
      <w:r>
        <w:t xml:space="preserve">In scope (v1)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Q&amp;A, Concept Explainer, Summarizer, Quiz Generator, Learning Roadmap modules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Gemini cascade with offline knowledge-base fallback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Three UI modes: All Tools, Individual Modes, Project Architecture (Kanban)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Scenarios bar, copy button, Markdown rendering, quiz scoring with confetti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Status endpoint and API-key status inspector</w:t>
      </w:r>
    </w:p>
    <w:p>
      <w:pPr>
        <w:pStyle w:val="Heading3"/>
        <w:spacing w:after="120" w:before="240"/>
      </w:pPr>
      <w:r>
        <w:t xml:space="preserve">Out of scope (v1)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User accounts, saved history, analytics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File / image / PDF input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Voice interaction, multilingual UI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LMS integrations</w:t>
      </w:r>
    </w:p>
    <w:p>
      <w:pPr>
        <w:pStyle w:val="Heading1"/>
        <w:spacing w:after="200" w:before="400"/>
      </w:pPr>
      <w:r>
        <w:t xml:space="preserve">8. Success Criteria (proposed targets)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3800"/>
        <w:gridCol w:w="5550"/>
      </w:tblGrid>
      <w:tr>
        <w:trPr>
          <w:tblHeader/>
        </w:trPr>
        <w:tc>
          <w:tcPr>
            <w:tcW w:type="dxa" w:w="38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5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study route returns a usable response</w:t>
            </w:r>
          </w:p>
        </w:tc>
        <w:tc>
          <w:tcPr>
            <w:tcW w:type="dxa" w:w="5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of requests return HTTP 200 with content — from Gemini or from the offline knowledge base</w:t>
            </w:r>
          </w:p>
        </w:tc>
      </w:tr>
      <w:tr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 output validity</w:t>
            </w:r>
          </w:p>
        </w:tc>
        <w:tc>
          <w:tcPr>
            <w:tcW w:type="dxa" w:w="5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quiz has 3 questions, 4 options each, an answer that is one of the options, and an explanation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Works without a key</w:t>
            </w:r>
          </w:p>
        </w:tc>
        <w:tc>
          <w:tcPr>
            <w:tcW w:type="dxa" w:w="5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starts and serves offline responses with no GEMINI_API_KEY set</w:t>
            </w:r>
          </w:p>
        </w:tc>
      </w:tr>
      <w:tr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effort</w:t>
            </w:r>
          </w:p>
        </w:tc>
        <w:tc>
          <w:tcPr>
            <w:tcW w:type="dxa" w:w="5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Clone → install → add key → run in under 10 minutes on a clean machine</w:t>
            </w:r>
          </w:p>
        </w:tc>
      </w:tr>
    </w:tbl>
    <w:p>
      <w:pPr>
        <w:pStyle w:val="Heading1"/>
        <w:spacing w:after="200" w:before="400"/>
      </w:pPr>
      <w:r>
        <w:t xml:space="preserve">9. Phase Deliverables &amp; Exit Criteria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Problem statement agreed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Personas and empathy map documented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Idea pool scored; v1 scope frozen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Feasibility and scope statement approved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4"/>
      </w:pBdr>
    </w:pPr>
    <w:r>
      <w:rPr>
        <w:color w:val="6B7280"/>
        <w:sz w:val="18"/>
        <w:szCs w:val="18"/>
      </w:rPr>
      <w:t xml:space="preserve">EduGenie  |  Phase 1 — Brainstorming &amp; Ideation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2026-09-28T05:11:33.496Z</dcterms:created>
  <dcterms:modified xsi:type="dcterms:W3CDTF">2026-09-28T05:11:33.497Z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