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2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Requirement Analysis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Functional and non-functional requirements, user stories and traceability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Purpose &amp; Stakeholders</w:t>
      </w:r>
    </w:p>
    <w:p>
      <w:pPr>
        <w:spacing w:after="160" w:line="276"/>
      </w:pPr>
      <w:r>
        <w:t xml:space="preserve">This document turns the v1 scope from Phase 1 into verifiable requirements. Each requirement has an ID that is referenced by the design (Phase 3) and by the test cases (Phase 6).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/ self-learners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understandable, trustworthy study help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Educators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explanations and quizzes for teaching material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Developers / maintainers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setup, modular code, clear API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Evaluators / mentors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Complete, traceable project artefacts</w:t>
            </w:r>
          </w:p>
        </w:tc>
      </w:tr>
    </w:tbl>
    <w:p>
      <w:pPr>
        <w:pStyle w:val="Heading1"/>
        <w:spacing w:after="200" w:before="400"/>
      </w:pPr>
      <w:r>
        <w:t xml:space="preserve">2. Functional Requirements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900"/>
        <w:gridCol w:w="7300"/>
        <w:gridCol w:w="1150"/>
      </w:tblGrid>
      <w:tr>
        <w:trPr>
          <w:tblHeader/>
        </w:trPr>
        <w:tc>
          <w:tcPr>
            <w:tcW w:type="dxa" w:w="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answer academic questions via /qa, returning structured Markdown and the model used.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explain a topic via /explain using analogies and a key-takeaways section.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summarize supplied text via /summarize into revision-ready points.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exactly 3 MCQs (4 options, answer, explanation each) via /quiz.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produce a 3-stage roadmap (Beginner → Intermediate → Advanced) with timeframes and resources via /learn/recommendations.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five study routes shall accept GET (query params) and POST (JSON body), at both the bare path and an /api-prefixed alias.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/api/status shall report status, hasApiKey, defaultModel, fallbackModel, version and appName.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server shall try gemini-3.8-flash, then gemini-3.5-flash-lite, then gemini-flash-latest, advancing on 404/429 failures.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no key is set or all models fail, the server shall return a curated offline knowledge-base response instead of an error.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generation shall use JSON mode with a response schema, and the server shall verify with JSON.parse before responding.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client shall render responses via marked + Tailwind .prose and provide a copy-to-clipboard button with “Copied” feedback.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client shall provide three views: All Tools, Individual Modes (tabs), Project Architecture (Kanban).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client shall provide a scenarios bar that pre-fills inputs across modules with one click.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7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quiz UI shall score answers, show green/red feedback and explanations, and trigger confetti on completion.</w:t>
            </w:r>
          </w:p>
        </w:tc>
        <w:tc>
          <w:tcPr>
            <w:tcW w:type="dxa" w:w="1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client shall provide a status / key-configuration inspector (ApiKeyModal) that never reveals the key itself.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before="160"/>
      </w:pPr>
    </w:p>
    <w:p>
      <w:pPr>
        <w:pStyle w:val="Heading1"/>
        <w:spacing w:after="200" w:before="400"/>
      </w:pPr>
      <w:r>
        <w:t xml:space="preserve">3. Non-Functional Requirements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900"/>
        <w:gridCol w:w="1700"/>
        <w:gridCol w:w="6750"/>
      </w:tblGrid>
      <w:tr>
        <w:trPr>
          <w:tblHeader/>
        </w:trPr>
        <w:tc>
          <w:tcPr>
            <w:tcW w:type="dxa" w:w="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study route may fail hard because of Gemini errors; degrade through the cascade to the offline knowledge base.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Gemini key lives only in server environment variables; it is never sent to or bundled into the browser; .env is git-ignored.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output is untrusted; HTML produced from Markdown must be sanitized before insertion into the DOM.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from ~375px (mobile) to desktop; typography free of Markdown artifacts.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shows loading state immediately; server adds no blocking work beyond the model call.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Node.js 18+ with npm 9+ on Linux, macOS and Windows.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React components, shared TypeScript types, single server entry point.</w:t>
            </w:r>
          </w:p>
        </w:tc>
      </w:tr>
      <w:tr>
        <w:tc>
          <w:tcPr>
            <w:tcW w:type="dxa" w:w="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AI response carries a model field; /api/status exposes configuration state.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Deployability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build + start command pair (npm run build, npm start); PORT and key via environment.</w:t>
            </w:r>
          </w:p>
        </w:tc>
      </w:tr>
    </w:tbl>
    <w:p>
      <w:pPr>
        <w:spacing w:before="160"/>
      </w:pPr>
    </w:p>
    <w:p>
      <w:pPr>
        <w:pStyle w:val="Heading1"/>
        <w:spacing w:after="200" w:before="400"/>
      </w:pPr>
      <w:r>
        <w:t xml:space="preserve">4. User Stories &amp; Acceptance Criteria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800"/>
        <w:gridCol w:w="1400"/>
        <w:gridCol w:w="2900"/>
        <w:gridCol w:w="4250"/>
      </w:tblGrid>
      <w:tr>
        <w:trPr>
          <w:tblHeader/>
        </w:trPr>
        <w:tc>
          <w:tcPr>
            <w:tcW w:type="dxa" w:w="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 want…</w:t>
            </w:r>
          </w:p>
        </w:tc>
        <w:tc>
          <w:tcPr>
            <w:tcW w:type="dxa" w:w="42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ask a factual question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get a short structured answer with bullet points within one request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simple explanation of a hard topic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answer includes an analogy and key takeaways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summarize my notes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get shorter revision-ready bullet points preserving key facts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test myself on a topic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get 3 MCQs, can check answers, see explanations and my score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self-learner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roadmap for a new skill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get 3 stages with timeframes and resources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user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to work when the AI is unavailable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still receive a curated response, not an error page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run it locally in minutes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Clone, install, add key, npm run dev works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US-08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evaluator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one-click demo inputs</w:t>
            </w:r>
          </w:p>
        </w:tc>
        <w:tc>
          <w:tcPr>
            <w:tcW w:type="dxa" w:w="4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buttons populate all modules</w:t>
            </w:r>
          </w:p>
        </w:tc>
      </w:tr>
    </w:tbl>
    <w:p>
      <w:pPr>
        <w:spacing w:before="160"/>
      </w:pPr>
    </w:p>
    <w:p>
      <w:pPr>
        <w:pStyle w:val="Heading1"/>
        <w:spacing w:after="200" w:before="400"/>
      </w:pPr>
      <w:r>
        <w:t xml:space="preserve">5. Data &amp; Interface Requirements</w:t>
      </w:r>
    </w:p>
    <w:p>
      <w:pPr>
        <w:pStyle w:val="Heading3"/>
        <w:spacing w:after="120" w:before="240"/>
      </w:pPr>
      <w:r>
        <w:t xml:space="preserve">5.1 Request / response contracts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500"/>
        <w:gridCol w:w="2000"/>
        <w:gridCol w:w="4850"/>
      </w:tblGrid>
      <w:tr>
        <w:trPr>
          <w:tblHeader/>
        </w:trPr>
        <w:tc>
          <w:tcPr>
            <w:tcW w:type="dxa" w:w="25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Request field</w:t>
            </w:r>
          </w:p>
        </w:tc>
        <w:tc>
          <w:tcPr>
            <w:tcW w:type="dxa" w:w="48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 fields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/qa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4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answer, model</w:t>
            </w:r>
          </w:p>
        </w:tc>
      </w:tr>
      <w:tr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/explain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topic, explanation, model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/summarize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summary, model</w:t>
            </w:r>
          </w:p>
        </w:tc>
      </w:tr>
      <w:tr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/quiz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quiz[ {question, options[4], answer, explanation} ], model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/learn/recommendations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topic, recommendation, model</w:t>
            </w:r>
          </w:p>
        </w:tc>
      </w:tr>
      <w:tr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status, hasApiKey, defaultModel, fallbackModel, version, appName</w:t>
            </w:r>
          </w:p>
        </w:tc>
      </w:tr>
    </w:tbl>
    <w:p>
      <w:pPr>
        <w:spacing w:before="160"/>
      </w:pPr>
    </w:p>
    <w:p>
      <w:pPr>
        <w:pStyle w:val="Heading3"/>
        <w:spacing w:after="120" w:before="240"/>
      </w:pPr>
      <w:r>
        <w:t xml:space="preserve">5.2 External interfaces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Google Gemini API through the official @google/genai TypeScript SDK (server-side only).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Browser Clipboard API (copy button) and canvas-confetti (quiz celebration).</w:t>
      </w:r>
    </w:p>
    <w:p>
      <w:pPr>
        <w:pStyle w:val="Heading1"/>
        <w:spacing w:after="200" w:before="400"/>
      </w:pPr>
      <w:r>
        <w:t xml:space="preserve">6. Environment Requirements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18+ (v20+ recommended), npm 9+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6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GEMINI_API_KEY (Google AI Studio), PORT (default 3000)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evergreen browser with Clipboard API support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(optional)</w:t>
            </w:r>
          </w:p>
        </w:tc>
        <w:tc>
          <w:tcPr>
            <w:tcW w:type="dxa" w:w="6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Cloud Run, Render or Railway</w:t>
            </w:r>
          </w:p>
        </w:tc>
      </w:tr>
    </w:tbl>
    <w:p>
      <w:pPr>
        <w:pStyle w:val="Heading1"/>
        <w:spacing w:after="200" w:before="400"/>
      </w:pPr>
      <w:r>
        <w:t xml:space="preserve">7. Assumptions, Constraints &amp; Out-of-Scope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Assumption: a free-tier Gemini key is enough for demos and light use; heavy use needs billing.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Constraint: model IDs are supplied by Google and can be retired; the cascade must tolerate a missing model.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Constraint: v1 is stateless — no database, no accounts.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Out of scope: file uploads, voice, multilingual UI, LMS integration (see Phase 1 backlog).</w:t>
      </w:r>
    </w:p>
    <w:p>
      <w:pPr>
        <w:pStyle w:val="Heading1"/>
        <w:spacing w:after="200" w:before="400"/>
      </w:pPr>
      <w:r>
        <w:t xml:space="preserve">8. Requirements Traceability Matrix</w:t>
      </w:r>
    </w:p>
    <w:p>
      <w:pPr>
        <w:spacing w:after="160" w:line="276"/>
      </w:pPr>
      <w:r>
        <w:t xml:space="preserve">Design and test references are filled in by Phases 3 and 6; test IDs below match the Phase 6 test plan.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800"/>
        <w:gridCol w:w="4000"/>
        <w:gridCol w:w="3550"/>
      </w:tblGrid>
      <w:tr>
        <w:trPr>
          <w:tblHeader/>
        </w:trPr>
        <w:tc>
          <w:tcPr>
            <w:tcW w:type="dxa" w:w="1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element (Phase 3)</w:t>
            </w:r>
          </w:p>
        </w:tc>
        <w:tc>
          <w:tcPr>
            <w:tcW w:type="dxa" w:w="35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Verified by (Phase 6)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QAModule + /qa handler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TC-02, TC-03, TC-04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ExplainModule + /explain handler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TC-05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SummarizeModule + /summarize handler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TC-06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FR-04, FR-10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QuizModule + /quiz handler + responseSchema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TC-07, TC-19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LearningPathModule + /learn/recommendations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TC-08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route aliasing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TC-02, TC-09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FR-07, FR-15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/api/status + ApiKeyModal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TC-01, TC-12, TC-21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cascade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knowledge base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TC-11, TC-12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marked + .prose + copy button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TC-17, TC-18, TC-23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navigation + App view state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TC-13, TC-14, TC-15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ScenariosBar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TC-16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QuizModule scoring + confetti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TC-19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key handling, .gitignore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TC-21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sanitization step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TC-23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4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responsive layout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TC-20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+ start scripts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TC-22</w:t>
            </w:r>
          </w:p>
        </w:tc>
      </w:tr>
    </w:tbl>
    <w:p>
      <w:pPr>
        <w:pStyle w:val="Heading1"/>
        <w:spacing w:after="200" w:before="400"/>
      </w:pPr>
      <w:r>
        <w:t xml:space="preserve">9. Exit Criteria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Requirements reviewed and IDs frozen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Every Must requirement has at least one test case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2 — Requirement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2026-09-28T05:11:33.667Z</dcterms:created>
  <dcterms:modified xsi:type="dcterms:W3CDTF">2026-09-28T05:11:33.667Z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