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left"/>
      </w:pPr>
      <w:r>
        <w:rPr>
          <w:b/>
          <w:bCs/>
          <w:color w:val="2563EB"/>
          <w:spacing w:val="60"/>
          <w:sz w:val="24"/>
          <w:szCs w:val="24"/>
        </w:rPr>
        <w:t xml:space="preserve">PHASE 3</w:t>
      </w:r>
    </w:p>
    <w:p>
      <w:pPr>
        <w:spacing w:after="120" w:before="120"/>
      </w:pPr>
      <w:r>
        <w:rPr>
          <w:b/>
          <w:bCs/>
          <w:color w:val="1E3A8A"/>
          <w:sz w:val="56"/>
          <w:szCs w:val="56"/>
        </w:rPr>
        <w:t xml:space="preserve">Project Design</w:t>
      </w:r>
    </w:p>
    <w:p>
      <w:pPr>
        <w:spacing w:after="400"/>
      </w:pPr>
      <w:r>
        <w:rPr>
          <w:color w:val="4B5563"/>
          <w:sz w:val="26"/>
          <w:szCs w:val="26"/>
        </w:rPr>
        <w:t xml:space="preserve">Architecture, flows, component design, API and data design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EduGenie — Intelligent Academic Learning Assistant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 + Tailwind CSS v4 • Express.js (TypeScript) • Google Gemini (@google/genai)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author / team name]</w:t>
            </w:r>
          </w:p>
        </w:tc>
      </w:tr>
      <w:t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[Add GitHub repository URL]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Design Goals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Keep the browser thin: it never talks to Gemini and never holds a secret.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One request pattern for all five modules so behaviour is predictable.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Fail soft: a provider problem should degrade the answer source, not the feature.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Structured output where structure matters (quiz) — enforced by schema, not by prompt wording.</w:t>
      </w:r>
    </w:p>
    <w:p>
      <w:pPr>
        <w:pStyle w:val="Heading1"/>
        <w:spacing w:after="200" w:before="400"/>
      </w:pPr>
      <w:r>
        <w:t xml:space="preserve">2. System Architecture</w:t>
      </w:r>
    </w:p>
    <w:p>
      <w:pPr>
        <w:spacing w:after="0" w:before="200"/>
        <w:jc w:val="center"/>
      </w:pPr>
      <w:r>
        <w:drawing>
          <wp:inline distT="0" distB="0" distL="0" distR="0">
            <wp:extent cx="5715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3.1 — High-level system architecture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1300"/>
        <w:gridCol w:w="3000"/>
        <w:gridCol w:w="5050"/>
      </w:tblGrid>
      <w:tr>
        <w:trPr>
          <w:tblHeader/>
        </w:trPr>
        <w:tc>
          <w:tcPr>
            <w:tcW w:type="dxa" w:w="1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Tailwind v4 (Vite)</w:t>
            </w:r>
          </w:p>
        </w:tc>
        <w:tc>
          <w:tcPr>
            <w:tcW w:type="dxa" w:w="5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capture, view state, Markdown rendering, quiz interaction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(server.ts, port 3000)</w:t>
            </w:r>
          </w:p>
        </w:tc>
        <w:tc>
          <w:tcPr>
            <w:tcW w:type="dxa" w:w="5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requests, inject system prompts, run cascade, normalise responses, serve built frontend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SDK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@google/genai</w:t>
            </w:r>
          </w:p>
        </w:tc>
        <w:tc>
          <w:tcPr>
            <w:tcW w:type="dxa" w:w="5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Typed access to Gemini generateContent with JSON mode and schemas</w:t>
            </w:r>
          </w:p>
        </w:tc>
      </w:tr>
      <w:tr>
        <w:tc>
          <w:tcPr>
            <w:tcW w:type="dxa" w:w="1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5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generation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academic knowledge base</w:t>
            </w:r>
          </w:p>
        </w:tc>
        <w:tc>
          <w:tcPr>
            <w:tcW w:type="dxa" w:w="5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Curated responses when the API is unavailable or unconfigured</w:t>
            </w:r>
          </w:p>
        </w:tc>
      </w:tr>
    </w:tbl>
    <w:p>
      <w:pPr>
        <w:pStyle w:val="Heading1"/>
        <w:spacing w:after="200" w:before="400"/>
      </w:pPr>
      <w:r>
        <w:t xml:space="preserve">3. Multi-Model Cascade Design</w:t>
      </w:r>
    </w:p>
    <w:p>
      <w:pPr>
        <w:spacing w:after="0" w:before="200"/>
        <w:jc w:val="center"/>
      </w:pPr>
      <w:r>
        <w:drawing>
          <wp:inline distT="0" distB="0" distL="0" distR="0">
            <wp:extent cx="30099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3.2 — Cascade and fallback flowchart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800"/>
        <w:gridCol w:w="3300"/>
        <w:gridCol w:w="5250"/>
      </w:tblGrid>
      <w:tr>
        <w:trPr>
          <w:tblHeader/>
        </w:trPr>
        <w:tc>
          <w:tcPr>
            <w:tcW w:type="dxa" w:w="8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2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GEMINI_API_KEY missing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 network entirely; use offline knowledge base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present</w:t>
            </w:r>
          </w:p>
        </w:tc>
        <w:tc>
          <w:tcPr>
            <w:tcW w:type="dxa" w:w="5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gemini-3.8-flash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returns 404 or 429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gemini-3.5-flash-lite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 tier fails</w:t>
            </w:r>
          </w:p>
        </w:tc>
        <w:tc>
          <w:tcPr>
            <w:tcW w:type="dxa" w:w="5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gemini-flash-latest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Third tier fails</w:t>
            </w:r>
          </w:p>
        </w:tc>
        <w:tc>
          <w:tcPr>
            <w:tcW w:type="dxa" w:w="5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offline knowledge base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success</w:t>
            </w:r>
          </w:p>
        </w:tc>
        <w:tc>
          <w:tcPr>
            <w:tcW w:type="dxa" w:w="52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Parse, attach model field, return normalised JSON</w:t>
            </w:r>
          </w:p>
        </w:tc>
      </w:tr>
    </w:tbl>
    <w:p>
      <w:pPr>
        <w:pStyle w:val="Heading1"/>
        <w:spacing w:after="200" w:before="400"/>
      </w:pPr>
      <w:r>
        <w:t xml:space="preserve">4. Quiz Generation Flow</w:t>
      </w:r>
    </w:p>
    <w:p>
      <w:pPr>
        <w:spacing w:after="0" w:before="200"/>
        <w:jc w:val="center"/>
      </w:pPr>
      <w:r>
        <w:drawing>
          <wp:inline distT="0" distB="0" distL="0" distR="0">
            <wp:extent cx="59055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3.3 — Quiz generation and validation flow</w:t>
      </w:r>
    </w:p>
    <w:p>
      <w:pPr>
        <w:spacing w:after="160" w:line="276"/>
      </w:pPr>
      <w:r>
        <w:t xml:space="preserve">The quiz is the only module with a strict machine-readable contract, so it is constrained at the API level (responseMimeType application/json plus a response schema) and verified server-side with JSON.parse before the client sees it.</w:t>
      </w:r>
    </w:p>
    <w:p>
      <w:pPr>
        <w:pStyle w:val="Heading1"/>
        <w:spacing w:after="200" w:before="400"/>
      </w:pPr>
      <w:r>
        <w:t xml:space="preserve">5. Application Webflow &amp; Navigation</w:t>
      </w:r>
    </w:p>
    <w:p>
      <w:pPr>
        <w:spacing w:after="0" w:before="200"/>
        <w:jc w:val="center"/>
      </w:pPr>
      <w:r>
        <w:drawing>
          <wp:inline distT="0" distB="0" distL="0" distR="0">
            <wp:extent cx="5905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3.4 — Application webflow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200"/>
        <w:gridCol w:w="4300"/>
        <w:gridCol w:w="2850"/>
      </w:tblGrid>
      <w:tr>
        <w:trPr>
          <w:tblHeader/>
        </w:trPr>
        <w:tc>
          <w:tcPr>
            <w:tcW w:type="dxa" w:w="22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4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Tools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5 modules on one page</w:t>
            </w:r>
          </w:p>
        </w:tc>
        <w:tc>
          <w:tcPr>
            <w:tcW w:type="dxa" w:w="2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 study sessions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Modes</w:t>
            </w:r>
          </w:p>
        </w:tc>
        <w:tc>
          <w:tcPr>
            <w:tcW w:type="dxa" w:w="4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module per tab</w:t>
            </w:r>
          </w:p>
        </w:tc>
        <w:tc>
          <w:tcPr>
            <w:tcW w:type="dxa" w:w="28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/ focused work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Architecture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Kanban (Setup, Core Modules, Fallback Engine, Verification) + architecture inspector</w:t>
            </w:r>
          </w:p>
        </w:tc>
        <w:tc>
          <w:tcPr>
            <w:tcW w:type="dxa" w:w="2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Demos and evaluation</w:t>
            </w:r>
          </w:p>
        </w:tc>
      </w:tr>
    </w:tbl>
    <w:p>
      <w:pPr>
        <w:pStyle w:val="Heading1"/>
        <w:spacing w:after="200" w:before="400"/>
      </w:pPr>
      <w:r>
        <w:t xml:space="preserve">6. Frontend Component Design</w:t>
      </w:r>
    </w:p>
    <w:p>
      <w:pPr>
        <w:spacing w:after="0" w:before="200"/>
        <w:jc w:val="center"/>
      </w:pPr>
      <w:r>
        <w:drawing>
          <wp:inline distT="0" distB="0" distL="0" distR="0">
            <wp:extent cx="49530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3.5 — React component tree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main.tsx</w:t>
            </w:r>
          </w:p>
        </w:tc>
        <w:tc>
          <w:tcPr>
            <w:tcW w:type="dxa" w:w="6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 bootstrap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App.tsx</w:t>
            </w:r>
          </w:p>
        </w:tc>
        <w:tc>
          <w:tcPr>
            <w:tcW w:type="dxa" w:w="6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 layout and which view is active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Header.tsx</w:t>
            </w:r>
          </w:p>
        </w:tc>
        <w:tc>
          <w:tcPr>
            <w:tcW w:type="dxa" w:w="6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Navigation between the three views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ScenariosBar.tsx</w:t>
            </w:r>
          </w:p>
        </w:tc>
        <w:tc>
          <w:tcPr>
            <w:tcW w:type="dxa" w:w="6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One-click scenarios that fill module inputs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ApiKeyModal.tsx</w:t>
            </w:r>
          </w:p>
        </w:tc>
        <w:tc>
          <w:tcPr>
            <w:tcW w:type="dxa" w:w="6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configuration status from /api/status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QAModule / ExplainModule / SummarizeModule / LearningPathModule</w:t>
            </w:r>
          </w:p>
        </w:tc>
        <w:tc>
          <w:tcPr>
            <w:tcW w:type="dxa" w:w="6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Input, request, loading/error state, Markdown result with copy button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QuizModule.tsx</w:t>
            </w:r>
          </w:p>
        </w:tc>
        <w:tc>
          <w:tcPr>
            <w:tcW w:type="dxa" w:w="6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 input, 3 question cards, scoring, explanations, confetti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ProjectShowcase.tsx</w:t>
            </w:r>
          </w:p>
        </w:tc>
        <w:tc>
          <w:tcPr>
            <w:tcW w:type="dxa" w:w="6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inspector and Kanban board</w:t>
            </w:r>
          </w:p>
        </w:tc>
      </w:tr>
      <w:tr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types.ts</w:t>
            </w:r>
          </w:p>
        </w:tc>
        <w:tc>
          <w:tcPr>
            <w:tcW w:type="dxa" w:w="6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TypeScript interfaces for request/response shapes</w:t>
            </w:r>
          </w:p>
        </w:tc>
      </w:tr>
    </w:tbl>
    <w:p>
      <w:pPr>
        <w:pStyle w:val="Heading1"/>
        <w:spacing w:after="200" w:before="400"/>
      </w:pPr>
      <w:r>
        <w:t xml:space="preserve">7. API Design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1900"/>
        <w:gridCol w:w="2300"/>
        <w:gridCol w:w="1100"/>
        <w:gridCol w:w="1000"/>
        <w:gridCol w:w="3050"/>
      </w:tblGrid>
      <w:tr>
        <w:trPr>
          <w:tblHeader/>
        </w:trPr>
        <w:tc>
          <w:tcPr>
            <w:tcW w:type="dxa" w:w="19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Aliases</w:t>
            </w:r>
          </w:p>
        </w:tc>
        <w:tc>
          <w:tcPr>
            <w:tcW w:type="dxa" w:w="11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1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/qa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/api/qa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answer, model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/explain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/api/explain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3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topic, explanation, model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/summarize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/api/summarize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summary, model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/quiz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/api/quiz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quiz[], model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/learn/recommendations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/api/learn/recommendations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topic, recommendation, model</w:t>
            </w:r>
          </w:p>
        </w:tc>
      </w:tr>
      <w:tr>
        <w:tc>
          <w:tcPr>
            <w:tcW w:type="dxa" w:w="19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23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status, hasApiKey, defaultModel, fallbackModel, version, appName</w:t>
            </w:r>
          </w:p>
        </w:tc>
      </w:tr>
    </w:tbl>
    <w:p>
      <w:pPr>
        <w:spacing w:before="160"/>
      </w:pPr>
    </w:p>
    <w:p>
      <w:pPr>
        <w:pStyle w:val="Heading3"/>
        <w:spacing w:after="120" w:before="240"/>
      </w:pPr>
      <w:r>
        <w:t xml:space="preserve">7.1 Quiz item schema</w:t>
      </w:r>
    </w:p>
    <w:tbl>
      <w:tblPr>
        <w:tblW w:type="dxa" w:w="935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1F29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"question": string,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"options": [string, string, string, string],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"answer": string,          // must equal one of options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 "explanation": string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200" w:before="400"/>
      </w:pPr>
      <w:r>
        <w:t xml:space="preserve">8. Error-Handling Design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3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/ empty input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with a client-error status before any model call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API key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knowledge base; /api/status shows hasApiKey=false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404 / 429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 to next cascade tier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tiers fail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knowledge base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quiz JSON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Treat as a failed tier: retry next tier, then offline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network error</w:t>
            </w:r>
          </w:p>
        </w:tc>
        <w:tc>
          <w:tcPr>
            <w:tcW w:type="dxa" w:w="63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Inline error message in the module; inputs preserved</w:t>
            </w:r>
          </w:p>
        </w:tc>
      </w:tr>
    </w:tbl>
    <w:p>
      <w:pPr>
        <w:pStyle w:val="Heading1"/>
        <w:spacing w:after="200" w:before="400"/>
      </w:pPr>
      <w:r>
        <w:t xml:space="preserve">9. Security Design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Secrets: GEMINI_API_KEY only in server environment; .env in .gitignore; .env.example committed with a placeholder.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Browser never calls Gemini; all provider traffic is server-side.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Output handling: sanitize the HTML produced by marked before injecting it into the page (marked does not sanitize by itself).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Abuse control: because the server holds the key, a public deployment lets anyone spend the quota — add request rate limiting and input-size limits.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GET support: query strings have length limits, so long text for /summarize should use POST; keep GET for short inputs and quick testing.</w:t>
      </w:r>
    </w:p>
    <w:p>
      <w:pPr>
        <w:pStyle w:val="Heading1"/>
        <w:spacing w:after="200" w:before="400"/>
      </w:pPr>
      <w:r>
        <w:t xml:space="preserve">10. UI / UX Design Notes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Typography: Tailwind .prose for all AI output; headings, lists and bold terms rendered natively.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Feedback: loading indicators, green/red quiz badges, temporary “Copied” state, confetti on quiz completion.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Layout: single-column, responsive; tabbed mode for small screens.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Icons: Lucide React.</w:t>
      </w:r>
    </w:p>
    <w:p>
      <w:pPr>
        <w:pStyle w:val="Heading1"/>
        <w:spacing w:after="200" w:before="400"/>
      </w:pPr>
      <w:r>
        <w:t xml:space="preserve">11. Deployment Architecture</w:t>
      </w:r>
    </w:p>
    <w:p>
      <w:pPr>
        <w:spacing w:after="0" w:before="200"/>
        <w:jc w:val="center"/>
      </w:pPr>
      <w:r>
        <w:drawing>
          <wp:inline distT="0" distB="0" distL="0" distR="0">
            <wp:extent cx="6096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3.6 — Build and deployment topology</w:t>
      </w:r>
    </w:p>
    <w:p>
      <w:pPr>
        <w:pStyle w:val="Heading1"/>
        <w:spacing w:after="200" w:before="400"/>
      </w:pPr>
      <w:r>
        <w:t xml:space="preserve">12. Technology Decisions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5E7EB" w:sz="4"/>
          <w:insideV w:val="single" w:color="E5E7EB" w:sz="4"/>
        </w:tblBorders>
      </w:tblPr>
      <w:tblGrid>
        <w:gridCol w:w="2200"/>
        <w:gridCol w:w="3000"/>
        <w:gridCol w:w="4150"/>
      </w:tblGrid>
      <w:tr>
        <w:trPr>
          <w:tblHeader/>
        </w:trPr>
        <w:tc>
          <w:tcPr>
            <w:tcW w:type="dxa" w:w="22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150"/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 model fits five similar modules; fast dev server and build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 v4 + typography plugin</w:t>
            </w:r>
          </w:p>
        </w:tc>
        <w:tc>
          <w:tcPr>
            <w:tcW w:type="dxa" w:w="4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 classes plus .prose for consistent AI output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Express.js on Node 18+, run with tsx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 HTTP layer; one language across the stack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access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@google/genai server-side</w:t>
            </w:r>
          </w:p>
        </w:tc>
        <w:tc>
          <w:tcPr>
            <w:tcW w:type="dxa" w:w="4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 SDK; supports JSON mode and schemas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local state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is stateless; no store needed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in v1</w:t>
            </w:r>
          </w:p>
        </w:tc>
        <w:tc>
          <w:tcPr>
            <w:tcW w:type="dxa" w:w="415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deployment trivial; moved to backlog</w:t>
            </w:r>
          </w:p>
        </w:tc>
      </w:tr>
    </w:tbl>
    <w:p>
      <w:pPr>
        <w:pStyle w:val="Heading1"/>
        <w:spacing w:after="200" w:before="400"/>
      </w:pPr>
      <w:r>
        <w:t xml:space="preserve">13. Exit Criteria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Architecture, cascade and quiz flows reviewed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API contracts frozen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☐ Component tree agreed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</w:pPr>
    <w:r>
      <w:rPr>
        <w:color w:val="6B7280"/>
        <w:sz w:val="18"/>
        <w:szCs w:val="18"/>
      </w:rPr>
      <w:t xml:space="preserve">EduGenie  |  Phase 3 — Project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cd158922d9a4617bba2689edd34c679f74cba1.png"/><Relationship Id="rId10" Type="http://schemas.openxmlformats.org/officeDocument/2006/relationships/image" Target="media/6212598cab7d25bab6eb453669f1a9fb59846fb9.png"/><Relationship Id="rId11" Type="http://schemas.openxmlformats.org/officeDocument/2006/relationships/image" Target="media/2ff804ba5e4265ea40a6cff9e583b3aed76e2f10.png"/><Relationship Id="rId12" Type="http://schemas.openxmlformats.org/officeDocument/2006/relationships/image" Target="media/8d77e42809f48a654805302387ca7196779877ad.png"/><Relationship Id="rId13" Type="http://schemas.openxmlformats.org/officeDocument/2006/relationships/image" Target="media/371e6694ae0ea7a5f22c72c13ec45290301fccfb.png"/><Relationship Id="rId14" Type="http://schemas.openxmlformats.org/officeDocument/2006/relationships/image" Target="media/7efcc13d7cd39a26c1577576244d2e29e0082cf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2026-09-28T05:11:33.843Z</dcterms:created>
  <dcterms:modified xsi:type="dcterms:W3CDTF">2026-09-28T05:11:33.843Z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