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left"/>
      </w:pPr>
      <w:r>
        <w:rPr>
          <w:b/>
          <w:bCs/>
          <w:color w:val="2563EB"/>
          <w:spacing w:val="60"/>
          <w:sz w:val="24"/>
          <w:szCs w:val="24"/>
        </w:rPr>
        <w:t xml:space="preserve">PHASE 5</w:t>
      </w:r>
    </w:p>
    <w:p>
      <w:pPr>
        <w:spacing w:after="120" w:before="120"/>
      </w:pPr>
      <w:r>
        <w:rPr>
          <w:b/>
          <w:bCs/>
          <w:color w:val="1E3A8A"/>
          <w:sz w:val="56"/>
          <w:szCs w:val="56"/>
        </w:rPr>
        <w:t xml:space="preserve">Project Development</w:t>
      </w:r>
    </w:p>
    <w:p>
      <w:pPr>
        <w:spacing w:after="400"/>
      </w:pPr>
      <w:r>
        <w:rPr>
          <w:color w:val="4B5563"/>
          <w:sz w:val="26"/>
          <w:szCs w:val="26"/>
        </w:rPr>
        <w:t xml:space="preserve">Implementation guide, module responsibilities and build instructions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EduGenie — Intelligent Academic Learning Assistant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 + Vite + Tailwind CSS v4 • Express.js (TypeScript) • Google Gemini (@google/genai)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author / team name]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GitHub repository URL]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60" w:line="276"/>
      </w:pPr>
      <w:r>
        <w:t xml:space="preserve">This document describes how EduGenie is implemented and how to build and run it. The application source lives at the repository root (server.ts, src/, package.json, etc.); this phase folder holds the implementation record. Development follows the four stages tracked on the in-app Kanban board.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1900"/>
        <w:gridCol w:w="4700"/>
        <w:gridCol w:w="2750"/>
      </w:tblGrid>
      <w:tr>
        <w:trPr>
          <w:tblHeader/>
        </w:trPr>
        <w:tc>
          <w:tcPr>
            <w:tcW w:type="dxa" w:w="19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7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Repo, Vite + React 19 + Tailwind v4, Express + tsx, env config, scripts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npm run dev serves the app</w:t>
            </w:r>
          </w:p>
        </w:tc>
      </w:tr>
      <w:tr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Modules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Q&amp;A, Explainer, Summarizer, Quiz, Roadmap: routes + UI</w:t>
            </w:r>
          </w:p>
        </w:tc>
        <w:tc>
          <w:tcPr>
            <w:tcW w:type="dxa" w:w="2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five work against Gemini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Fallback Engine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Cascade, offline knowledge base, status endpoint, quiz schema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TC-10 to TC-12 pass</w:t>
            </w:r>
          </w:p>
        </w:tc>
      </w:tr>
      <w:tr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4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pass and fixes (Phase 6)</w:t>
            </w:r>
          </w:p>
        </w:tc>
        <w:tc>
          <w:tcPr>
            <w:tcW w:type="dxa" w:w="2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open Critical/High defects</w:t>
            </w:r>
          </w:p>
        </w:tc>
      </w:tr>
    </w:tbl>
    <w:p>
      <w:pPr>
        <w:pStyle w:val="Heading1"/>
        <w:spacing w:after="200" w:before="400"/>
      </w:pPr>
      <w:r>
        <w:t xml:space="preserve">2. Environment Setup</w:t>
      </w:r>
    </w:p>
    <w:p>
      <w:pPr>
        <w:pStyle w:val="Heading3"/>
        <w:spacing w:after="120" w:before="24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Node.js 18+ (20+ recommended) and npm 9+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 Gemini API key from Google AI Studio</w:t>
      </w:r>
    </w:p>
    <w:p>
      <w:pPr>
        <w:pStyle w:val="Heading3"/>
        <w:spacing w:after="120" w:before="240"/>
      </w:pPr>
      <w:r>
        <w:t xml:space="preserve">Commands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git clone &lt;your-repo-url&gt; edugenie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cd edugenie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npm install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cp .env.example .env        # then set GEMINI_API_KEY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npm run dev                 # http://localhost:3000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npm run build               # production build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npm start                   # run production server</w:t>
            </w:r>
          </w:p>
        </w:tc>
      </w:tr>
    </w:tbl>
    <w:p>
      <w:pPr>
        <w:pStyle w:val="Heading3"/>
        <w:spacing w:after="120" w:before="240"/>
      </w:pPr>
      <w:r>
        <w:t xml:space="preserve">Configuration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600"/>
        <w:gridCol w:w="5000"/>
        <w:gridCol w:w="175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 Gemini credential. If unset, offline knowledge base is used.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5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port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</w:tr>
    </w:tbl>
    <w:p>
      <w:pPr>
        <w:pStyle w:val="Heading1"/>
        <w:spacing w:after="200" w:before="400"/>
      </w:pPr>
      <w:r>
        <w:t xml:space="preserve">3. Repository Layout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edugenie/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├── server.ts                 # Express server + Gemini cascade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├── index.html, vite.config.ts, tsconfig*.json, package.json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├── metadata.json, .env.example, .gitignore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└── src/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├── main.tsx, App.tsx, index.css, types.ts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└── components/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  ├── ApiKeyModal.tsx  Header.tsx  ScenariosBar.tsx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  ├── QAModule.tsx  ExplainModule.tsx  SummarizeModule.tsx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  ├── QuizModule.tsx  LearningPathModule.tsx  ProjectShowcase.tsx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01_ … 08_ phase folders hold the project documents (this repo’s submission structure).</w:t>
            </w:r>
          </w:p>
        </w:tc>
      </w:tr>
    </w:tbl>
    <w:p>
      <w:pPr>
        <w:pStyle w:val="Heading1"/>
        <w:spacing w:after="200" w:before="400"/>
      </w:pPr>
      <w:r>
        <w:t xml:space="preserve">4. Backend Implementation (server.ts)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73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Five study routes each registered for GET and POST, at bare and /api-prefixed paths, sharing one handler per module.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handling</w:t>
            </w:r>
          </w:p>
        </w:tc>
        <w:tc>
          <w:tcPr>
            <w:tcW w:type="dxa" w:w="7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from req.query (GET) or req.body (POST); reject empty input before any model call.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prompts</w:t>
            </w:r>
          </w:p>
        </w:tc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Per-module prompt injected server-side (student-centric: analogies, examples, key takeaways; Markdown output).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Cascade</w:t>
            </w:r>
          </w:p>
        </w:tc>
        <w:tc>
          <w:tcPr>
            <w:tcW w:type="dxa" w:w="7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Ordered model list tried in sequence; only 404/429 advance to the next tier; first success wins.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KB</w:t>
            </w:r>
          </w:p>
        </w:tc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Deterministic curated responses used when no key is set or all tiers fail.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</w:t>
            </w:r>
          </w:p>
        </w:tc>
        <w:tc>
          <w:tcPr>
            <w:tcW w:type="dxa" w:w="7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mode + response schema; JSON.parse verification; failure treated like a failed tier.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/api/status returns configuration state without exposing the key.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serving</w:t>
            </w:r>
          </w:p>
        </w:tc>
        <w:tc>
          <w:tcPr>
            <w:tcW w:type="dxa" w:w="7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Serves the Vite build in production; Vite middleware/dev server in development.</w:t>
            </w:r>
          </w:p>
        </w:tc>
      </w:tr>
    </w:tbl>
    <w:p>
      <w:pPr>
        <w:pStyle w:val="Heading3"/>
        <w:spacing w:after="120" w:before="240"/>
      </w:pPr>
      <w:r>
        <w:t xml:space="preserve">4.1 Illustrative cascade helper</w:t>
      </w:r>
    </w:p>
    <w:p>
      <w:pPr>
        <w:spacing w:after="160" w:line="276"/>
      </w:pPr>
      <w:r>
        <w:rPr>
          <w:i/>
          <w:iCs/>
        </w:rPr>
        <w:t xml:space="preserve">A reference sketch of the pattern (adapt to the actual server.ts; not a copy of it):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import { GoogleGenAI } from "@google/genai";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const MODELS = ["gemini-3.8-flash", "gemini-3.5-flash-lite", "gemini-flash-latest"];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const ai = process.env.GEMINI_API_KEY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? new GoogleGenAI({ apiKey: process.env.GEMINI_API_KEY })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: null;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async function generate(prompt: string, config: object = {})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if (!ai) return { text: offlineAnswer(prompt), model: "offline-kb"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for (const model of MODELS)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try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const res = await ai.models.generateContent({ model, contents: prompt, config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return { text: res.text ?? "", model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} catch (err: any)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const code = err?.status ?? err?.code;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if (code !== 404 &amp;&amp; code !== 429) throw err;   // only cascade on these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return { text: offlineAnswer(prompt), model: "offline-kb"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t xml:space="preserve">4.2 Illustrative quiz call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const quizSchema =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type: "array",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items: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type: "object",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properties: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question: { type: "string"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options: { type: "array", items: { type: "string" }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answer: { type: "string"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explanation: { type: "string"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required: ["question", "options", "answer", "explanation"],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const { text, model } = await generate(quizPrompt(topic),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responseMimeType: "application/json",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responseSchema: quizSchema,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const quiz = JSON.parse(text);   // verification step</w:t>
            </w:r>
          </w:p>
        </w:tc>
      </w:tr>
    </w:tbl>
    <w:p>
      <w:pPr>
        <w:pStyle w:val="Heading1"/>
        <w:spacing w:after="200" w:before="400"/>
      </w:pPr>
      <w:r>
        <w:t xml:space="preserve">5. Frontend Implementation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App.tsx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the active view (All Tools / Individual Modes / Project Architecture) and shared scenario state.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Header.tsx</w:t>
            </w:r>
          </w:p>
        </w:tc>
        <w:tc>
          <w:tcPr>
            <w:tcW w:type="dxa" w:w="6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Navigation control for the three views.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ScenariosBar.tsx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Sets the inputs of all modules from one click (Largest Ocean, Photosynthesis, Industrial Revolution, Solar System, Full Stack Web Development).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Q&amp;A / Explain / Summarize / LearningPath</w:t>
            </w:r>
          </w:p>
        </w:tc>
        <w:tc>
          <w:tcPr>
            <w:tcW w:type="dxa" w:w="6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pattern: controlled input → fetch → loading/error state → Markdown result + copy button.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QuizModule.tsx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Renders 3 cards with radio options; Check Answers scores against the key, shows green/red, explanations and fires canvas-confetti.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ProjectShowcase.tsx</w:t>
            </w:r>
          </w:p>
        </w:tc>
        <w:tc>
          <w:tcPr>
            <w:tcW w:type="dxa" w:w="6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Kanban board and architecture inspector.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ApiKeyModal.tsx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Reads /api/status; shows configuration state, never the key.</w:t>
            </w:r>
          </w:p>
        </w:tc>
      </w:tr>
    </w:tbl>
    <w:p>
      <w:pPr>
        <w:pStyle w:val="Heading3"/>
        <w:spacing w:after="120" w:before="240"/>
      </w:pPr>
      <w:r>
        <w:t xml:space="preserve">5.1 Rendering Markdown safely</w:t>
      </w:r>
    </w:p>
    <w:p>
      <w:pPr>
        <w:spacing w:after="160" w:line="276"/>
      </w:pPr>
      <w:r>
        <w:t xml:space="preserve">marked converts Markdown to HTML but does not sanitize it. Because model output is untrusted, pass the HTML through a sanitizer (for example DOMPurify) before inserting it into the DOM: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import { marked } from "marked";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import DOMPurify from "dompurify";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const html = DOMPurify.sanitize(marked.parse(markdown) as string);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// &lt;div className="prose" dangerouslySetInnerHTML={{ __html: html }} /&gt;</w:t>
            </w:r>
          </w:p>
        </w:tc>
      </w:tr>
    </w:tbl>
    <w:p>
      <w:pPr>
        <w:pStyle w:val="Heading1"/>
        <w:spacing w:after="200" w:before="400"/>
      </w:pPr>
      <w:r>
        <w:t xml:space="preserve">6. Dependencies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3300"/>
        <w:gridCol w:w="1800"/>
        <w:gridCol w:w="4250"/>
      </w:tblGrid>
      <w:tr>
        <w:trPr>
          <w:tblHeader/>
        </w:trPr>
        <w:tc>
          <w:tcPr>
            <w:tcW w:type="dxa" w:w="33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2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/ react-dom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^19.0.1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^4.3.3</w:t>
            </w:r>
          </w:p>
        </w:tc>
        <w:tc>
          <w:tcPr>
            <w:tcW w:type="dxa" w:w="42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 + typography (.prose)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^18.0.14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Markdown → HTML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canvas-confetti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^1.9.4</w:t>
            </w:r>
          </w:p>
        </w:tc>
        <w:tc>
          <w:tcPr>
            <w:tcW w:type="dxa" w:w="42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 celebration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^0.546.0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Icons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^8.3.0</w:t>
            </w:r>
          </w:p>
        </w:tc>
        <w:tc>
          <w:tcPr>
            <w:tcW w:type="dxa" w:w="42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tool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^4.21.2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server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tsx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^4.21.0</w:t>
            </w:r>
          </w:p>
        </w:tc>
        <w:tc>
          <w:tcPr>
            <w:tcW w:type="dxa" w:w="42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TypeScript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archiver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^7.0.1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export / zip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@google/genai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^2.4.0</w:t>
            </w:r>
          </w:p>
        </w:tc>
        <w:tc>
          <w:tcPr>
            <w:tcW w:type="dxa" w:w="42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SDK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dompurify (recommended)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 sanitization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express-rate-limit (recommended)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2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Abuse control on public hosts</w:t>
            </w:r>
          </w:p>
        </w:tc>
      </w:tr>
    </w:tbl>
    <w:p>
      <w:pPr>
        <w:pStyle w:val="Heading1"/>
        <w:spacing w:after="200" w:before="400"/>
      </w:pPr>
      <w:r>
        <w:t xml:space="preserve">7. Hardening Recommendations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3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IDs</w:t>
            </w:r>
          </w:p>
        </w:tc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the three model IDs from environment variables with the current values as defaults, so retirements need a config change, not a code change.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Sanitization</w:t>
            </w:r>
          </w:p>
        </w:tc>
        <w:tc>
          <w:tcPr>
            <w:tcW w:type="dxa" w:w="7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Sanitize Markdown-derived HTML (section 5.1).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per-IP limits and a maximum input length on all study routes.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 inputs</w:t>
            </w:r>
          </w:p>
        </w:tc>
        <w:tc>
          <w:tcPr>
            <w:tcW w:type="dxa" w:w="7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POST for /summarize and /quiz text; keep GET for short queries.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Errors</w:t>
            </w:r>
          </w:p>
        </w:tc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consistent JSON error bodies; log details server-side only.</w:t>
            </w:r>
          </w:p>
        </w:tc>
      </w:tr>
    </w:tbl>
    <w:p>
      <w:pPr>
        <w:pStyle w:val="Heading1"/>
        <w:spacing w:after="200" w:before="400"/>
      </w:pPr>
      <w:r>
        <w:t xml:space="preserve">8. Coding Standards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TypeScript strict mode; shared request/response types in src/types.ts.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One component per file, named exports match filenames.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No secrets in code or logs; environment variables only.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Conventional commits; small pull requests.</w:t>
      </w:r>
    </w:p>
    <w:p>
      <w:pPr>
        <w:pStyle w:val="Heading1"/>
        <w:spacing w:after="200" w:before="400"/>
      </w:pPr>
      <w:r>
        <w:t xml:space="preserve">9. Implementation Status Checklist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Project skeleton (Vite + Express + Tailwind) runs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Q&amp;A route + QAModule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Explain route + ExplainModule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Summarize route + SummarizeModule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Quiz route (schema) + QuizModule (scoring, confetti)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Roadmap route + LearningPathModule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Cascade across three models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Offline knowledge base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/api/status + ApiKeyModal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Scenarios bar, copy button, Markdown rendering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Three navigation views incl. Kanban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Sanitization and rate limiting added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4"/>
      </w:pBdr>
    </w:pPr>
    <w:r>
      <w:rPr>
        <w:color w:val="6B7280"/>
        <w:sz w:val="18"/>
        <w:szCs w:val="18"/>
      </w:rPr>
      <w:t xml:space="preserve">EduGenie  |  Phase 5 — Project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2026-09-28T05:11:34.136Z</dcterms:created>
  <dcterms:modified xsi:type="dcterms:W3CDTF">2026-09-28T05:11:34.136Z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