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00000"/>
          <w:sz w:val="44"/>
        </w:rPr>
        <w:t>Abhayanth K</w:t>
      </w:r>
    </w:p>
    <w:p>
      <w:pPr>
        <w:spacing w:after="0"/>
      </w:pPr>
      <w:r>
        <w:rPr>
          <w:b/>
          <w:color w:val="0066CC"/>
          <w:sz w:val="21"/>
        </w:rPr>
        <w:t xml:space="preserve">Phone: </w:t>
      </w:r>
      <w:r>
        <w:rPr>
          <w:sz w:val="21"/>
        </w:rPr>
        <w:t>+918281659864</w:t>
      </w:r>
    </w:p>
    <w:p>
      <w:pPr>
        <w:spacing w:after="0"/>
      </w:pPr>
      <w:r>
        <w:rPr>
          <w:b/>
          <w:color w:val="0066CC"/>
          <w:sz w:val="21"/>
        </w:rPr>
        <w:t xml:space="preserve">Email: </w:t>
      </w:r>
      <w:r>
        <w:rPr>
          <w:sz w:val="21"/>
        </w:rPr>
        <w:t>abhayanth.2024@nst.rishihood.edu.in</w:t>
      </w:r>
    </w:p>
    <w:p>
      <w:pPr>
        <w:spacing w:after="40"/>
      </w:pPr>
      <w:hyperlink r:id="rId9">
        <w:r>
          <w:rPr>
            <w:color w:val="1155CC"/>
            <w:u w:val="single"/>
            <w:sz w:val="21"/>
            <w:rFonts w:ascii="Times New Roman" w:hAnsi="Times New Roman"/>
          </w:rPr>
          <w:t>LinkedIn</w:t>
        </w:r>
      </w:hyperlink>
      <w:r>
        <w:rPr>
          <w:sz w:val="21"/>
        </w:rPr>
        <w:t xml:space="preserve">  •  </w:t>
      </w:r>
      <w:hyperlink r:id="rId10">
        <w:r>
          <w:rPr>
            <w:color w:val="1155CC"/>
            <w:u w:val="single"/>
            <w:sz w:val="21"/>
            <w:rFonts w:ascii="Times New Roman" w:hAnsi="Times New Roman"/>
          </w:rPr>
          <w:t>Github</w:t>
        </w:r>
      </w:hyperlink>
      <w:r>
        <w:rPr>
          <w:sz w:val="21"/>
        </w:rPr>
        <w:t xml:space="preserve">  •  </w:t>
      </w:r>
      <w:hyperlink r:id="rId11">
        <w:r>
          <w:rPr>
            <w:color w:val="1155CC"/>
            <w:u w:val="single"/>
            <w:sz w:val="21"/>
            <w:rFonts w:ascii="Times New Roman" w:hAnsi="Times New Roman"/>
          </w:rPr>
          <w:t>Codeforces</w:t>
        </w:r>
      </w:hyperlink>
      <w:r>
        <w:rPr>
          <w:sz w:val="21"/>
        </w:rPr>
        <w:t xml:space="preserve">  •  </w:t>
      </w:r>
      <w:hyperlink r:id="rId12">
        <w:r>
          <w:rPr>
            <w:color w:val="1155CC"/>
            <w:u w:val="single"/>
            <w:sz w:val="21"/>
            <w:rFonts w:ascii="Times New Roman" w:hAnsi="Times New Roman"/>
          </w:rPr>
          <w:t>Leetcode</w:t>
        </w:r>
      </w:hyperlink>
    </w:p>
    <w:p>
      <w:pPr>
        <w:spacing w:before="120" w:after="0"/>
      </w:pPr>
      <w:r>
        <w:rPr>
          <w:b/>
          <w:sz w:val="24"/>
        </w:rPr>
        <w:t>PROFESSIONAL SUMMARY</w:t>
      </w:r>
    </w:p>
    <w:p>
      <w:pPr>
        <w:spacing w:before="40" w:after="80"/>
        <w:pBdr>
          <w:bottom w:val="single" w:sz="6" w:space="1" w:color="000000"/>
        </w:pBdr>
      </w:pPr>
    </w:p>
    <w:p>
      <w:pPr>
        <w:spacing w:after="80"/>
      </w:pPr>
      <w:r>
        <w:rPr>
          <w:sz w:val="21"/>
        </w:rPr>
        <w:t>Full-stack developer shipping AI-powered web apps with Next.js, TypeScript, and Python. Skilled in data visualization, statistical modeling, and building production-grade analytics dashboards. Codeforces Specialist (max 1484), 1,900+ competitive programming problems solved.</w:t>
      </w:r>
    </w:p>
    <w:p>
      <w:pPr>
        <w:spacing w:before="80" w:after="0"/>
      </w:pPr>
      <w:r>
        <w:rPr>
          <w:b/>
          <w:sz w:val="24"/>
        </w:rPr>
        <w:t>EDUCATION</w:t>
      </w:r>
    </w:p>
    <w:p>
      <w:pPr>
        <w:spacing w:before="40" w:after="80"/>
        <w:pBdr>
          <w:bottom w:val="single" w:sz="6" w:space="1" w:color="000000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480"/>
        <w:gridCol w:w="3600"/>
      </w:tblGrid>
      <w:tr>
        <w:tc>
          <w:tcPr>
            <w:tcW w:type="dxa" w:w="5103"/>
          </w:tcPr>
          <w:p>
            <w:r>
              <w:rPr>
                <w:b/>
                <w:sz w:val="21"/>
              </w:rPr>
              <w:t xml:space="preserve">Bachelor of Technology </w:t>
            </w:r>
            <w:r>
              <w:rPr>
                <w:sz w:val="21"/>
              </w:rPr>
              <w:t>(Artificial Intelligence)</w:t>
            </w:r>
          </w:p>
        </w:tc>
        <w:tc>
          <w:tcPr>
            <w:tcW w:type="dxa" w:w="5103"/>
          </w:tcPr>
          <w:p>
            <w:pPr>
              <w:jc w:val="right"/>
            </w:pPr>
            <w:r>
              <w:rPr>
                <w:sz w:val="21"/>
              </w:rPr>
              <w:t>2024 - 2028</w:t>
            </w:r>
          </w:p>
        </w:tc>
      </w:tr>
    </w:tbl>
    <w:p>
      <w:pPr>
        <w:spacing w:before="0" w:after="0"/>
        <w:ind w:left="0"/>
      </w:pPr>
      <w:r>
        <w:rPr>
          <w:sz w:val="21"/>
        </w:rPr>
        <w:t>Newton School of Technology, Rishihood University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480"/>
        <w:gridCol w:w="3600"/>
      </w:tblGrid>
      <w:tr>
        <w:tc>
          <w:tcPr>
            <w:tcW w:type="dxa" w:w="5103"/>
          </w:tcPr>
          <w:p/>
        </w:tc>
        <w:tc>
          <w:tcPr>
            <w:tcW w:type="dxa" w:w="5103"/>
          </w:tcPr>
          <w:p>
            <w:pPr>
              <w:jc w:val="right"/>
            </w:pPr>
            <w:r>
              <w:rPr>
                <w:sz w:val="21"/>
              </w:rPr>
              <w:t>Grade: 8.87/10.0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480"/>
        <w:gridCol w:w="3600"/>
      </w:tblGrid>
      <w:tr>
        <w:tc>
          <w:tcPr>
            <w:tcW w:type="dxa" w:w="5103"/>
          </w:tcPr>
          <w:p>
            <w:r>
              <w:rPr>
                <w:b/>
                <w:sz w:val="21"/>
              </w:rPr>
              <w:t>Intermediate (Class XII)</w:t>
            </w:r>
          </w:p>
        </w:tc>
        <w:tc>
          <w:tcPr>
            <w:tcW w:type="dxa" w:w="5103"/>
          </w:tcPr>
          <w:p>
            <w:pPr>
              <w:jc w:val="right"/>
            </w:pPr>
            <w:r>
              <w:rPr>
                <w:sz w:val="21"/>
              </w:rPr>
              <w:t>2022 - 2023</w:t>
            </w:r>
          </w:p>
        </w:tc>
      </w:tr>
    </w:tbl>
    <w:p>
      <w:pPr>
        <w:spacing w:before="0" w:after="0"/>
      </w:pPr>
      <w:r>
        <w:rPr>
          <w:sz w:val="21"/>
        </w:rPr>
        <w:t>Vedavyasa Vidyalayam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480"/>
        <w:gridCol w:w="3600"/>
      </w:tblGrid>
      <w:tr>
        <w:tc>
          <w:tcPr>
            <w:tcW w:type="dxa" w:w="5103"/>
          </w:tcPr>
          <w:p/>
        </w:tc>
        <w:tc>
          <w:tcPr>
            <w:tcW w:type="dxa" w:w="5103"/>
          </w:tcPr>
          <w:p>
            <w:pPr>
              <w:jc w:val="right"/>
            </w:pPr>
            <w:r>
              <w:rPr>
                <w:sz w:val="21"/>
              </w:rPr>
              <w:t>Grade: 93.8%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480"/>
        <w:gridCol w:w="3600"/>
      </w:tblGrid>
      <w:tr>
        <w:tc>
          <w:tcPr>
            <w:tcW w:type="dxa" w:w="5103"/>
          </w:tcPr>
          <w:p>
            <w:r>
              <w:rPr>
                <w:b/>
                <w:sz w:val="21"/>
              </w:rPr>
              <w:t>Matriculation (Class X)</w:t>
            </w:r>
          </w:p>
        </w:tc>
        <w:tc>
          <w:tcPr>
            <w:tcW w:type="dxa" w:w="5103"/>
          </w:tcPr>
          <w:p>
            <w:pPr>
              <w:jc w:val="right"/>
            </w:pPr>
            <w:r>
              <w:rPr>
                <w:sz w:val="21"/>
              </w:rPr>
              <w:t>2020 - 2021</w:t>
            </w:r>
          </w:p>
        </w:tc>
      </w:tr>
    </w:tbl>
    <w:p>
      <w:pPr>
        <w:spacing w:before="0" w:after="0"/>
      </w:pPr>
      <w:r>
        <w:rPr>
          <w:sz w:val="21"/>
        </w:rPr>
        <w:t>Vedavyasa Vidyalayam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480"/>
        <w:gridCol w:w="3600"/>
      </w:tblGrid>
      <w:tr>
        <w:tc>
          <w:tcPr>
            <w:tcW w:type="dxa" w:w="5103"/>
          </w:tcPr>
          <w:p/>
        </w:tc>
        <w:tc>
          <w:tcPr>
            <w:tcW w:type="dxa" w:w="5103"/>
          </w:tcPr>
          <w:p>
            <w:pPr>
              <w:jc w:val="right"/>
            </w:pPr>
            <w:r>
              <w:rPr>
                <w:sz w:val="21"/>
              </w:rPr>
              <w:t>Grade: 90.8%</w:t>
            </w:r>
          </w:p>
        </w:tc>
      </w:tr>
    </w:tbl>
    <w:p>
      <w:pPr>
        <w:spacing w:before="120" w:after="0"/>
      </w:pPr>
      <w:r>
        <w:rPr>
          <w:b/>
          <w:sz w:val="24"/>
        </w:rPr>
        <w:t>PROJECTS</w:t>
      </w:r>
    </w:p>
    <w:p>
      <w:pPr>
        <w:spacing w:before="40" w:after="80"/>
        <w:pBdr>
          <w:bottom w:val="single" w:sz="6" w:space="1" w:color="000000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2880"/>
      </w:tblGrid>
      <w:tr>
        <w:tc>
          <w:tcPr>
            <w:tcW w:type="dxa" w:w="5103"/>
          </w:tcPr>
          <w:p>
            <w:r>
              <w:rPr>
                <w:b/>
                <w:sz w:val="21"/>
              </w:rPr>
              <w:t xml:space="preserve">Maternal &amp; Newborn Health Insights During COVID-19  ( </w:t>
            </w:r>
            <w:hyperlink r:id="rId13">
              <w:r>
                <w:rPr>
                  <w:color w:val="1155CC"/>
                  <w:u w:val="single"/>
                  <w:sz w:val="21"/>
                  <w:rFonts w:ascii="Times New Roman" w:hAnsi="Times New Roman"/>
                </w:rPr>
                <w:t>Github</w:t>
              </w:r>
            </w:hyperlink>
            <w:r>
              <w:rPr>
                <w:sz w:val="21"/>
              </w:rPr>
              <w:t xml:space="preserve"> )</w:t>
            </w:r>
          </w:p>
        </w:tc>
        <w:tc>
          <w:tcPr>
            <w:tcW w:type="dxa" w:w="5103"/>
          </w:tcPr>
          <w:p>
            <w:pPr>
              <w:jc w:val="right"/>
            </w:pPr>
            <w:r>
              <w:rPr>
                <w:sz w:val="21"/>
              </w:rPr>
              <w:t>February 2026</w:t>
            </w:r>
          </w:p>
        </w:tc>
      </w:tr>
    </w:tbl>
    <w:p>
      <w:pPr>
        <w:spacing w:before="0" w:after="20"/>
        <w:ind w:left="360"/>
      </w:pPr>
      <w:r>
        <w:rPr>
          <w:b/>
          <w:sz w:val="21"/>
        </w:rPr>
        <w:t>Healthcare — Maternal &amp; Child Health Analytics</w:t>
      </w:r>
    </w:p>
    <w:p>
      <w:pPr>
        <w:spacing w:before="0" w:after="40"/>
        <w:ind w:left="360"/>
      </w:pPr>
      <w:r>
        <w:rPr>
          <w:i/>
          <w:sz w:val="20"/>
        </w:rPr>
        <w:t>Google Sheets, Pivot Tables, Interactive Dashboards, Statistical Analysis</w:t>
      </w:r>
    </w:p>
    <w:p>
      <w:pPr>
        <w:pStyle w:val="ListNumber"/>
        <w:spacing w:before="20" w:after="20"/>
        <w:ind w:left="720"/>
      </w:pPr>
      <w:r>
        <w:rPr>
          <w:sz w:val="20"/>
        </w:rPr>
        <w:t>Analyzed survey-based data from the Pregnancy during the COVID-19 Pandemic (PdP) study across Canada, processing 10,773 records and cleaning to 5,389 high-quality entries covering maternal demographics, mental health assessments (EPDS, PROMIS Anxiety), and birth outcomes.</w:t>
      </w:r>
    </w:p>
    <w:p>
      <w:pPr>
        <w:pStyle w:val="ListNumber"/>
        <w:spacing w:before="20" w:after="20"/>
        <w:ind w:left="720"/>
      </w:pPr>
      <w:r>
        <w:rPr>
          <w:sz w:val="20"/>
        </w:rPr>
        <w:t>Identified a C-section rate of 29.36% — significantly above the 21% global average — and discovered a U-shaped maternal age risk curve for preterm birth, with both younger and older age groups showing elevated risk.</w:t>
      </w:r>
    </w:p>
    <w:p>
      <w:pPr>
        <w:pStyle w:val="ListNumber"/>
        <w:spacing w:before="20" w:after="20"/>
        <w:ind w:left="720"/>
      </w:pPr>
      <w:r>
        <w:rPr>
          <w:sz w:val="20"/>
        </w:rPr>
        <w:t>Quantified pandemic psychosocial impact: average pandemic stress scored 51.53/100, PROMIS Anxiety averaged 18.43/35 (clinically significant), and EPDS depression scores averaged 9.75/30 approaching clinical threshold.</w:t>
      </w:r>
    </w:p>
    <w:p>
      <w:pPr>
        <w:pStyle w:val="ListNumber"/>
        <w:spacing w:before="20" w:after="20"/>
        <w:ind w:left="720"/>
      </w:pPr>
      <w:r>
        <w:rPr>
          <w:sz w:val="20"/>
        </w:rPr>
        <w:t>Built interactive dashboards with 6 filters (NICU Stay, Preterm, Maternal Education, Age Group, Income Group, Delivery Mode) to enable segmented exploration of delivery outcomes, depression severity by income, and maternal education distribution.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2880"/>
      </w:tblGrid>
      <w:tr>
        <w:tc>
          <w:tcPr>
            <w:tcW w:type="dxa" w:w="5103"/>
          </w:tcPr>
          <w:p>
            <w:pPr>
              <w:spacing w:before="120"/>
            </w:pPr>
            <w:r>
              <w:rPr>
                <w:b/>
                <w:sz w:val="21"/>
              </w:rPr>
              <w:t xml:space="preserve">Bank Marketing Campaign Analytics  ( </w:t>
            </w:r>
            <w:hyperlink r:id="rId14">
              <w:r>
                <w:rPr>
                  <w:color w:val="1155CC"/>
                  <w:u w:val="single"/>
                  <w:sz w:val="21"/>
                  <w:rFonts w:ascii="Times New Roman" w:hAnsi="Times New Roman"/>
                </w:rPr>
                <w:t>Github</w:t>
              </w:r>
            </w:hyperlink>
            <w:r>
              <w:rPr>
                <w:sz w:val="21"/>
              </w:rPr>
              <w:t xml:space="preserve"> )</w:t>
            </w:r>
          </w:p>
        </w:tc>
        <w:tc>
          <w:tcPr>
            <w:tcW w:type="dxa" w:w="5103"/>
          </w:tcPr>
          <w:p>
            <w:pPr>
              <w:jc w:val="right"/>
            </w:pPr>
            <w:r>
              <w:rPr>
                <w:sz w:val="21"/>
              </w:rPr>
              <w:t>April 2026</w:t>
            </w:r>
          </w:p>
        </w:tc>
      </w:tr>
    </w:tbl>
    <w:p>
      <w:pPr>
        <w:spacing w:before="0" w:after="20"/>
        <w:ind w:left="360"/>
      </w:pPr>
      <w:r>
        <w:rPr>
          <w:b/>
          <w:sz w:val="21"/>
        </w:rPr>
        <w:t>Banking &amp; Financial Services — Direct Marketing Analytics</w:t>
      </w:r>
    </w:p>
    <w:p>
      <w:pPr>
        <w:spacing w:before="0" w:after="40"/>
        <w:ind w:left="360"/>
      </w:pPr>
      <w:r>
        <w:rPr>
          <w:i/>
          <w:sz w:val="20"/>
        </w:rPr>
        <w:t>Google Sheets, Pivot Tables, Statistical Analysis, Logistic Regression, Interactive Dashboards</w:t>
      </w:r>
    </w:p>
    <w:p>
      <w:pPr>
        <w:pStyle w:val="ListNumber"/>
        <w:spacing w:before="20" w:after="20"/>
        <w:ind w:left="720"/>
      </w:pPr>
      <w:r>
        <w:rPr>
          <w:sz w:val="20"/>
        </w:rPr>
        <w:t>Analyzed the UCI Portuguese Bank Marketing dataset (41,176 direct-marketing contacts) to optimize term-deposit subscription conversion, identifying key customer segments and campaign strategies driving a baseline conversion rate of 11.27%.</w:t>
      </w:r>
    </w:p>
    <w:p>
      <w:pPr>
        <w:pStyle w:val="ListNumber"/>
        <w:spacing w:before="20" w:after="20"/>
        <w:ind w:left="720"/>
      </w:pPr>
      <w:r>
        <w:rPr>
          <w:sz w:val="20"/>
        </w:rPr>
        <w:t>Built a 4-dashboard analytical system — Customer Profile, Campaign Effectiveness, Economic Impact, and Interaction History — with cross-filtering by contact date, job type, education, and marital status for granular segmentation.</w:t>
      </w:r>
    </w:p>
    <w:p>
      <w:pPr>
        <w:pStyle w:val="ListNumber"/>
        <w:spacing w:before="20" w:after="20"/>
        <w:ind w:left="720"/>
      </w:pPr>
      <w:r>
        <w:rPr>
          <w:sz w:val="20"/>
        </w:rPr>
        <w:t>Discovered a 6.9× top-driver lift: prior campaign success yielded 65.11% conversion vs. 8.83% for cold contacts; cellular channel outperformed telephone (14.74% vs. 5.23%); and March–December seasonality showed 50.55% peak conversion.</w:t>
      </w:r>
    </w:p>
    <w:p>
      <w:pPr>
        <w:pStyle w:val="ListNumber"/>
        <w:spacing w:before="20" w:after="20"/>
        <w:ind w:left="720"/>
      </w:pPr>
      <w:r>
        <w:rPr>
          <w:sz w:val="20"/>
        </w:rPr>
        <w:t>Developed a lightweight propensity model using logistic regression on six identified features, achieving 90.8% accuracy on the cleaned dataset, enabling targeted campaign resource allocation.</w:t>
      </w:r>
    </w:p>
    <w:p>
      <w:pPr>
        <w:spacing w:before="120" w:after="0"/>
      </w:pPr>
      <w:r>
        <w:rPr>
          <w:b/>
          <w:sz w:val="24"/>
        </w:rPr>
        <w:t>TECHNICAL SKILLS</w:t>
      </w:r>
    </w:p>
    <w:p>
      <w:pPr>
        <w:spacing w:before="40" w:after="80"/>
        <w:pBdr>
          <w:bottom w:val="single" w:sz="6" w:space="1" w:color="000000"/>
        </w:pBdr>
      </w:pPr>
    </w:p>
    <w:p>
      <w:pPr>
        <w:spacing w:before="20" w:after="20"/>
      </w:pPr>
      <w:r>
        <w:rPr>
          <w:b/>
          <w:sz w:val="21"/>
        </w:rPr>
        <w:t xml:space="preserve">Languages &amp; Frameworks: </w:t>
      </w:r>
      <w:r>
        <w:rPr>
          <w:sz w:val="21"/>
        </w:rPr>
        <w:t>Python, TypeScript, Next.js, React, FastAPI, Prisma, PostgreSQL</w:t>
      </w:r>
    </w:p>
    <w:p>
      <w:pPr>
        <w:spacing w:before="20" w:after="20"/>
      </w:pPr>
      <w:r>
        <w:rPr>
          <w:b/>
          <w:sz w:val="21"/>
        </w:rPr>
        <w:t xml:space="preserve">Data &amp; Analytics: </w:t>
      </w:r>
      <w:r>
        <w:rPr>
          <w:sz w:val="21"/>
        </w:rPr>
        <w:t>Google Sheets, Pivot Tables, KPI Frameworks, Statistical Analysis, Logistic Regression</w:t>
      </w:r>
    </w:p>
    <w:p>
      <w:pPr>
        <w:spacing w:before="20" w:after="20"/>
      </w:pPr>
      <w:r>
        <w:rPr>
          <w:b/>
          <w:sz w:val="21"/>
        </w:rPr>
        <w:t xml:space="preserve">Visualization: </w:t>
      </w:r>
      <w:r>
        <w:rPr>
          <w:sz w:val="21"/>
        </w:rPr>
        <w:t>Interactive Dashboards, Chart Design, Data Storytelling, Cross-filtering</w:t>
      </w:r>
    </w:p>
    <w:p>
      <w:pPr>
        <w:spacing w:before="20" w:after="20"/>
      </w:pPr>
      <w:r>
        <w:rPr>
          <w:b/>
          <w:sz w:val="21"/>
        </w:rPr>
        <w:t xml:space="preserve">Tools &amp; Platforms: </w:t>
      </w:r>
      <w:r>
        <w:rPr>
          <w:sz w:val="21"/>
        </w:rPr>
        <w:t>Git, GitHub, VS Code, Vercel, Neon (PostgreSQL), Trigger.dev</w:t>
      </w:r>
    </w:p>
    <w:sectPr w:rsidR="00FC693F" w:rsidRPr="0006063C" w:rsidSect="00034616">
      <w:pgSz w:w="11906" w:h="16838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/>
    </w:pPr>
    <w:rPr>
      <w:rFonts w:ascii="Times New Roman" w:hAnsi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bhayanth-k-675905323/" TargetMode="External"/><Relationship Id="rId10" Type="http://schemas.openxmlformats.org/officeDocument/2006/relationships/hyperlink" Target="https://github.com/Abhayanthk" TargetMode="External"/><Relationship Id="rId11" Type="http://schemas.openxmlformats.org/officeDocument/2006/relationships/hyperlink" Target="https://codeforces.com/profile/Harly24" TargetMode="External"/><Relationship Id="rId12" Type="http://schemas.openxmlformats.org/officeDocument/2006/relationships/hyperlink" Target="https://leetcode.com/u/Harly24/" TargetMode="External"/><Relationship Id="rId13" Type="http://schemas.openxmlformats.org/officeDocument/2006/relationships/hyperlink" Target="https://github.com/Jag2007/SectionC_Group6_Pregnant_Women_COVID19" TargetMode="External"/><Relationship Id="rId14" Type="http://schemas.openxmlformats.org/officeDocument/2006/relationships/hyperlink" Target="https://github.com/Lalith0024/Section_C_Group_11_Bank_Marketing_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