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95E5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939FD">
        <w:rPr>
          <w:rFonts w:ascii="Times New Roman" w:hAnsi="Times New Roman" w:cs="Times New Roman"/>
          <w:b/>
          <w:bCs/>
          <w:sz w:val="36"/>
          <w:szCs w:val="36"/>
        </w:rPr>
        <w:t>Urban Resilience and Infrastructure Service Gap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9FD" w:rsidRPr="00E939FD" w14:paraId="47DCEC63" w14:textId="77777777">
        <w:tc>
          <w:tcPr>
            <w:tcW w:w="9016" w:type="dxa"/>
          </w:tcPr>
          <w:p w14:paraId="42335F54" w14:textId="77777777" w:rsidR="00E939FD" w:rsidRPr="00E939FD" w:rsidRDefault="00E939FD" w:rsidP="00B8459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939FD">
              <w:rPr>
                <w:rFonts w:ascii="Times New Roman" w:hAnsi="Times New Roman" w:cs="Times New Roman"/>
                <w:b/>
                <w:bCs/>
              </w:rPr>
              <w:t>Table of Contents</w:t>
            </w:r>
          </w:p>
        </w:tc>
      </w:tr>
      <w:tr w:rsidR="00E939FD" w:rsidRPr="00E939FD" w14:paraId="2A4A567E" w14:textId="77777777">
        <w:tc>
          <w:tcPr>
            <w:tcW w:w="9016" w:type="dxa"/>
          </w:tcPr>
          <w:p w14:paraId="016567C3" w14:textId="77777777" w:rsidR="00E939FD" w:rsidRPr="00E939FD" w:rsidRDefault="00E939FD" w:rsidP="00B84596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b/>
                <w:bCs/>
              </w:rPr>
              <w:t>Introduction: Project Scope and Objective</w:t>
            </w:r>
          </w:p>
        </w:tc>
      </w:tr>
      <w:tr w:rsidR="00E939FD" w:rsidRPr="00E939FD" w14:paraId="6A12672C" w14:textId="77777777">
        <w:tc>
          <w:tcPr>
            <w:tcW w:w="9016" w:type="dxa"/>
          </w:tcPr>
          <w:p w14:paraId="00E4F187" w14:textId="77777777" w:rsidR="00E939FD" w:rsidRPr="00E939FD" w:rsidRDefault="00E939FD" w:rsidP="00B84596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b/>
                <w:bCs/>
              </w:rPr>
              <w:t>Section 1: The Base Map – Establishing the Urban Canvas</w:t>
            </w:r>
          </w:p>
        </w:tc>
      </w:tr>
      <w:tr w:rsidR="00E939FD" w:rsidRPr="00E939FD" w14:paraId="1116777D" w14:textId="77777777">
        <w:tc>
          <w:tcPr>
            <w:tcW w:w="9016" w:type="dxa"/>
          </w:tcPr>
          <w:p w14:paraId="5F0D021A" w14:textId="77777777" w:rsidR="00E939FD" w:rsidRPr="00E939FD" w:rsidRDefault="00E939FD" w:rsidP="00B84596">
            <w:pPr>
              <w:numPr>
                <w:ilvl w:val="1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i/>
                <w:iCs/>
              </w:rPr>
              <w:t>Figure 1: Base Map of Ward</w:t>
            </w:r>
          </w:p>
        </w:tc>
      </w:tr>
      <w:tr w:rsidR="00E939FD" w:rsidRPr="00E939FD" w14:paraId="6BE1BED0" w14:textId="77777777">
        <w:tc>
          <w:tcPr>
            <w:tcW w:w="9016" w:type="dxa"/>
          </w:tcPr>
          <w:p w14:paraId="25F2BA4C" w14:textId="77777777" w:rsidR="00E939FD" w:rsidRPr="00E939FD" w:rsidRDefault="00E939FD" w:rsidP="00B84596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b/>
                <w:bCs/>
              </w:rPr>
              <w:t>Section 2: Vertical Density and Land Use Dynamics</w:t>
            </w:r>
          </w:p>
        </w:tc>
      </w:tr>
      <w:tr w:rsidR="00E939FD" w:rsidRPr="00E939FD" w14:paraId="25058171" w14:textId="77777777">
        <w:tc>
          <w:tcPr>
            <w:tcW w:w="9016" w:type="dxa"/>
          </w:tcPr>
          <w:p w14:paraId="4E621D29" w14:textId="77777777" w:rsidR="00E939FD" w:rsidRPr="00E939FD" w:rsidRDefault="00E939FD" w:rsidP="00B84596">
            <w:pPr>
              <w:numPr>
                <w:ilvl w:val="1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i/>
                <w:iCs/>
              </w:rPr>
              <w:t>Figure 2: Building Height Map with Land Use</w:t>
            </w:r>
          </w:p>
        </w:tc>
      </w:tr>
      <w:tr w:rsidR="00E939FD" w:rsidRPr="00E939FD" w14:paraId="3E8B2CAB" w14:textId="77777777">
        <w:tc>
          <w:tcPr>
            <w:tcW w:w="9016" w:type="dxa"/>
          </w:tcPr>
          <w:p w14:paraId="5F4393D5" w14:textId="77777777" w:rsidR="00E939FD" w:rsidRPr="00E939FD" w:rsidRDefault="00E939FD" w:rsidP="00B84596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b/>
                <w:bCs/>
              </w:rPr>
              <w:t>Section 3: Essential Services and Social Infrastructure</w:t>
            </w:r>
          </w:p>
        </w:tc>
      </w:tr>
      <w:tr w:rsidR="00E939FD" w:rsidRPr="00E939FD" w14:paraId="5C2E182F" w14:textId="77777777">
        <w:tc>
          <w:tcPr>
            <w:tcW w:w="9016" w:type="dxa"/>
          </w:tcPr>
          <w:p w14:paraId="7C3D713C" w14:textId="77777777" w:rsidR="00E939FD" w:rsidRPr="00E939FD" w:rsidRDefault="00E939FD" w:rsidP="00B84596">
            <w:pPr>
              <w:numPr>
                <w:ilvl w:val="1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i/>
                <w:iCs/>
              </w:rPr>
              <w:t>Figure 3: Social Infrastructure Map of the Ward</w:t>
            </w:r>
          </w:p>
        </w:tc>
      </w:tr>
      <w:tr w:rsidR="00E939FD" w:rsidRPr="00E939FD" w14:paraId="3985DC80" w14:textId="77777777">
        <w:tc>
          <w:tcPr>
            <w:tcW w:w="9016" w:type="dxa"/>
          </w:tcPr>
          <w:p w14:paraId="6F62B9FC" w14:textId="77777777" w:rsidR="00E939FD" w:rsidRPr="00E939FD" w:rsidRDefault="00E939FD" w:rsidP="00B84596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b/>
                <w:bCs/>
              </w:rPr>
              <w:t>Section 4: Safety Assessment – Fire Station Response Coverage</w:t>
            </w:r>
          </w:p>
        </w:tc>
      </w:tr>
      <w:tr w:rsidR="00E939FD" w:rsidRPr="00E939FD" w14:paraId="5A3E6A95" w14:textId="77777777">
        <w:tc>
          <w:tcPr>
            <w:tcW w:w="9016" w:type="dxa"/>
          </w:tcPr>
          <w:p w14:paraId="5F690053" w14:textId="77777777" w:rsidR="00E939FD" w:rsidRPr="00E939FD" w:rsidRDefault="00E939FD" w:rsidP="00B84596">
            <w:pPr>
              <w:numPr>
                <w:ilvl w:val="1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i/>
                <w:iCs/>
              </w:rPr>
              <w:t>Figure 4: Safe &amp; Unsafe Zone: Fire Station Coverage (500m)</w:t>
            </w:r>
          </w:p>
        </w:tc>
      </w:tr>
      <w:tr w:rsidR="00E939FD" w:rsidRPr="00E939FD" w14:paraId="398519BE" w14:textId="77777777">
        <w:tc>
          <w:tcPr>
            <w:tcW w:w="9016" w:type="dxa"/>
          </w:tcPr>
          <w:p w14:paraId="278BCEB1" w14:textId="77777777" w:rsidR="00E939FD" w:rsidRPr="00E939FD" w:rsidRDefault="00E939FD" w:rsidP="00B84596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b/>
                <w:bCs/>
              </w:rPr>
              <w:t>Section 5: Environmental Risk and Infrastructure Expansion</w:t>
            </w:r>
          </w:p>
        </w:tc>
      </w:tr>
      <w:tr w:rsidR="00E939FD" w:rsidRPr="00E939FD" w14:paraId="2F01DE94" w14:textId="77777777">
        <w:tc>
          <w:tcPr>
            <w:tcW w:w="9016" w:type="dxa"/>
          </w:tcPr>
          <w:p w14:paraId="423965C4" w14:textId="77777777" w:rsidR="00E939FD" w:rsidRPr="00E939FD" w:rsidRDefault="00E939FD" w:rsidP="00B84596">
            <w:pPr>
              <w:numPr>
                <w:ilvl w:val="1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i/>
                <w:iCs/>
              </w:rPr>
              <w:t>Figure 5: Trees Within 5m of Minor Road</w:t>
            </w:r>
          </w:p>
        </w:tc>
      </w:tr>
      <w:tr w:rsidR="00E939FD" w:rsidRPr="00E939FD" w14:paraId="153F253E" w14:textId="77777777">
        <w:tc>
          <w:tcPr>
            <w:tcW w:w="9016" w:type="dxa"/>
          </w:tcPr>
          <w:p w14:paraId="75C4AD74" w14:textId="77777777" w:rsidR="00E939FD" w:rsidRPr="00E939FD" w:rsidRDefault="00E939FD" w:rsidP="00B84596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939FD">
              <w:rPr>
                <w:rFonts w:ascii="Times New Roman" w:hAnsi="Times New Roman" w:cs="Times New Roman"/>
                <w:b/>
                <w:bCs/>
              </w:rPr>
              <w:t>Summary of Findings and Strategic Recommendations</w:t>
            </w:r>
          </w:p>
        </w:tc>
      </w:tr>
    </w:tbl>
    <w:p w14:paraId="12AE9EB0" w14:textId="25D212A3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</w:p>
    <w:p w14:paraId="500A7897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t>1. Introduction: Project Scope and Objective</w:t>
      </w:r>
    </w:p>
    <w:p w14:paraId="3CC10A9A" w14:textId="564F915C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</w:rPr>
        <w:t>This study provides a multi-dimensional spatial assessment of a localized municipal ward. By leveraging QGIS, the analysis identifies critical intersections between built-up density, public service accessibility, and environmental preservation. The goal is to move beyond simple mapping to identify "service gaps"</w:t>
      </w:r>
      <w:r>
        <w:rPr>
          <w:rFonts w:ascii="Times New Roman" w:hAnsi="Times New Roman" w:cs="Times New Roman"/>
        </w:rPr>
        <w:t xml:space="preserve"> - </w:t>
      </w:r>
      <w:r w:rsidRPr="00E939FD">
        <w:rPr>
          <w:rFonts w:ascii="Times New Roman" w:hAnsi="Times New Roman" w:cs="Times New Roman"/>
        </w:rPr>
        <w:t>areas where infrastructure fails to meet the safety and social needs of the population.</w:t>
      </w:r>
    </w:p>
    <w:p w14:paraId="54C0964D" w14:textId="6EB6A43B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</w:p>
    <w:p w14:paraId="7B52F870" w14:textId="1917508A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t xml:space="preserve">2. Section 1: The Base Map </w:t>
      </w:r>
      <w:r>
        <w:rPr>
          <w:rFonts w:ascii="Times New Roman" w:hAnsi="Times New Roman" w:cs="Times New Roman"/>
          <w:b/>
          <w:bCs/>
        </w:rPr>
        <w:t>-</w:t>
      </w:r>
      <w:r w:rsidRPr="00E939FD">
        <w:rPr>
          <w:rFonts w:ascii="Times New Roman" w:hAnsi="Times New Roman" w:cs="Times New Roman"/>
          <w:b/>
          <w:bCs/>
        </w:rPr>
        <w:t xml:space="preserve"> Establishing the Urban Canvas</w:t>
      </w:r>
    </w:p>
    <w:p w14:paraId="3911D32E" w14:textId="5C1572A3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</w:rPr>
        <w:t>To understand the ward, we must first establish its physical boundaries and primary arteries. This base map serves as the foundation, identifying the natural and man-made features</w:t>
      </w:r>
      <w:r>
        <w:rPr>
          <w:rFonts w:ascii="Times New Roman" w:hAnsi="Times New Roman" w:cs="Times New Roman"/>
        </w:rPr>
        <w:t xml:space="preserve"> </w:t>
      </w:r>
      <w:r w:rsidRPr="00E939FD">
        <w:rPr>
          <w:rFonts w:ascii="Times New Roman" w:hAnsi="Times New Roman" w:cs="Times New Roman"/>
        </w:rPr>
        <w:t>such as water bodies and rail lines</w:t>
      </w:r>
      <w:r>
        <w:rPr>
          <w:rFonts w:ascii="Times New Roman" w:hAnsi="Times New Roman" w:cs="Times New Roman"/>
        </w:rPr>
        <w:t xml:space="preserve"> </w:t>
      </w:r>
      <w:r w:rsidRPr="00E939FD">
        <w:rPr>
          <w:rFonts w:ascii="Times New Roman" w:hAnsi="Times New Roman" w:cs="Times New Roman"/>
        </w:rPr>
        <w:t>that dictate the ward's growth and connectivity.</w:t>
      </w:r>
    </w:p>
    <w:p w14:paraId="6FBF34FF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9525BA6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48C0A00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8760ED" w14:textId="7792C492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lastRenderedPageBreak/>
        <w:t>Figure 1: Base Map of Ward</w:t>
      </w:r>
    </w:p>
    <w:p w14:paraId="4A187605" w14:textId="3C38C185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64E155" wp14:editId="70C0205E">
            <wp:extent cx="5731510" cy="4053205"/>
            <wp:effectExtent l="0" t="0" r="2540" b="4445"/>
            <wp:docPr id="205742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29804" name="Picture 20574298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C1E6" w14:textId="1FC92CFA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</w:p>
    <w:p w14:paraId="1B976B19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t>3. Section 2: Vertical Density and Land Use Dynamics</w:t>
      </w:r>
    </w:p>
    <w:p w14:paraId="1AF4700E" w14:textId="189BF6DA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</w:rPr>
        <w:t>Having established the footprint, we look at the "third dimension"</w:t>
      </w:r>
      <w:r>
        <w:rPr>
          <w:rFonts w:ascii="Times New Roman" w:hAnsi="Times New Roman" w:cs="Times New Roman"/>
        </w:rPr>
        <w:t xml:space="preserve"> - </w:t>
      </w:r>
      <w:r w:rsidRPr="00E939FD">
        <w:rPr>
          <w:rFonts w:ascii="Times New Roman" w:hAnsi="Times New Roman" w:cs="Times New Roman"/>
        </w:rPr>
        <w:t>height and purpose. This map categorizes the ward by land use (residential vs. industrial) and building height.</w:t>
      </w:r>
    </w:p>
    <w:p w14:paraId="2E7B97FD" w14:textId="162E7C62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  <w:b/>
          <w:bCs/>
        </w:rPr>
        <w:t>Insight:</w:t>
      </w:r>
      <w:r w:rsidRPr="00E939FD">
        <w:rPr>
          <w:rFonts w:ascii="Times New Roman" w:hAnsi="Times New Roman" w:cs="Times New Roman"/>
        </w:rPr>
        <w:t xml:space="preserve"> Most residential structures are low-rise (0</w:t>
      </w:r>
      <w:r>
        <w:rPr>
          <w:rFonts w:ascii="Times New Roman" w:hAnsi="Times New Roman" w:cs="Times New Roman"/>
        </w:rPr>
        <w:t xml:space="preserve"> - </w:t>
      </w:r>
      <w:r w:rsidRPr="00E939FD">
        <w:rPr>
          <w:rFonts w:ascii="Times New Roman" w:hAnsi="Times New Roman" w:cs="Times New Roman"/>
        </w:rPr>
        <w:t>4m), while institutional and industrial pockets show moderate vertical growth. This data is crucial for predicting population density and assessing the load on local utilities.</w:t>
      </w:r>
    </w:p>
    <w:p w14:paraId="293F3D09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579156B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8B8866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24F602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16CD05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803668F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68282A6" w14:textId="08C42671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lastRenderedPageBreak/>
        <w:t>Figure 2: Building Height Map with Land Use</w:t>
      </w:r>
    </w:p>
    <w:p w14:paraId="38518AD0" w14:textId="607AF1B9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98298F" wp14:editId="64DC4140">
            <wp:extent cx="5731510" cy="4053205"/>
            <wp:effectExtent l="0" t="0" r="2540" b="4445"/>
            <wp:docPr id="1425923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23014" name="Picture 14259230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0DEB" w14:textId="7AFF253A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</w:p>
    <w:p w14:paraId="59B1D4A0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t>4. Section 3: Essential Services and Social Infrastructure</w:t>
      </w:r>
    </w:p>
    <w:p w14:paraId="1636D951" w14:textId="1BF375FB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</w:rPr>
        <w:t>With the population density mapped, the next logical step is to locate the services that support them. This map identifies the "Social Infrastructure"</w:t>
      </w:r>
      <w:r>
        <w:rPr>
          <w:rFonts w:ascii="Times New Roman" w:hAnsi="Times New Roman" w:cs="Times New Roman"/>
        </w:rPr>
        <w:t xml:space="preserve"> - </w:t>
      </w:r>
      <w:r w:rsidRPr="00E939FD">
        <w:rPr>
          <w:rFonts w:ascii="Times New Roman" w:hAnsi="Times New Roman" w:cs="Times New Roman"/>
        </w:rPr>
        <w:t>the schools, hospitals, and police stations that act as the ward's life support system.</w:t>
      </w:r>
    </w:p>
    <w:p w14:paraId="513BAE13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  <w:b/>
          <w:bCs/>
        </w:rPr>
        <w:t>Insight:</w:t>
      </w:r>
      <w:r w:rsidRPr="00E939FD">
        <w:rPr>
          <w:rFonts w:ascii="Times New Roman" w:hAnsi="Times New Roman" w:cs="Times New Roman"/>
        </w:rPr>
        <w:t xml:space="preserve"> While the ward has a high concentration of schools (Municipal Marathi and Urdu schools), their physical distribution reveals potential accessibility hurdles for residents in peripheral zones.</w:t>
      </w:r>
    </w:p>
    <w:p w14:paraId="4EC935CB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9AAD4DC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CD4E4D7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B906D08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3BB33B6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991EAD6" w14:textId="6EB3D339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lastRenderedPageBreak/>
        <w:t>Figure 3: Social Infrastructure Map of the Ward</w:t>
      </w:r>
    </w:p>
    <w:p w14:paraId="3C262BAC" w14:textId="2F2275A3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07C641" wp14:editId="1AE1D605">
            <wp:extent cx="5731510" cy="4053205"/>
            <wp:effectExtent l="0" t="0" r="2540" b="4445"/>
            <wp:docPr id="1545297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97354" name="Picture 15452973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0F12" w14:textId="43B9A37A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</w:p>
    <w:p w14:paraId="6DAE2524" w14:textId="6F5F0BDB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t xml:space="preserve">5. Section 4: Safety Assessment </w:t>
      </w:r>
      <w:r>
        <w:rPr>
          <w:rFonts w:ascii="Times New Roman" w:hAnsi="Times New Roman" w:cs="Times New Roman"/>
          <w:b/>
          <w:bCs/>
        </w:rPr>
        <w:t>-</w:t>
      </w:r>
      <w:r w:rsidRPr="00E939FD">
        <w:rPr>
          <w:rFonts w:ascii="Times New Roman" w:hAnsi="Times New Roman" w:cs="Times New Roman"/>
          <w:b/>
          <w:bCs/>
        </w:rPr>
        <w:t xml:space="preserve"> Fire Station Response Coverage</w:t>
      </w:r>
    </w:p>
    <w:p w14:paraId="4CD3BCCE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</w:rPr>
        <w:t xml:space="preserve">This is the critical "Risk" layer. By applying a 500-meter buffer analysis to the fire station, we assess whether the essential services identified in the previous section are </w:t>
      </w:r>
      <w:proofErr w:type="gramStart"/>
      <w:r w:rsidRPr="00E939FD">
        <w:rPr>
          <w:rFonts w:ascii="Times New Roman" w:hAnsi="Times New Roman" w:cs="Times New Roman"/>
        </w:rPr>
        <w:t>actually safe</w:t>
      </w:r>
      <w:proofErr w:type="gramEnd"/>
      <w:r w:rsidRPr="00E939FD">
        <w:rPr>
          <w:rFonts w:ascii="Times New Roman" w:hAnsi="Times New Roman" w:cs="Times New Roman"/>
        </w:rPr>
        <w:t>.</w:t>
      </w:r>
    </w:p>
    <w:p w14:paraId="5F913073" w14:textId="42F6BA41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  <w:b/>
          <w:bCs/>
        </w:rPr>
        <w:t>Critical Gap:</w:t>
      </w:r>
      <w:r w:rsidRPr="00E939FD">
        <w:rPr>
          <w:rFonts w:ascii="Times New Roman" w:hAnsi="Times New Roman" w:cs="Times New Roman"/>
        </w:rPr>
        <w:t xml:space="preserve"> The analysis reveals a major vulnerability. Only a small cluster of facilities near the fire station lies in the "Safe Zone". The local hospital and </w:t>
      </w:r>
      <w:proofErr w:type="gramStart"/>
      <w:r w:rsidRPr="00E939FD">
        <w:rPr>
          <w:rFonts w:ascii="Times New Roman" w:hAnsi="Times New Roman" w:cs="Times New Roman"/>
        </w:rPr>
        <w:t>the majority of</w:t>
      </w:r>
      <w:proofErr w:type="gramEnd"/>
      <w:r w:rsidRPr="00E939FD">
        <w:rPr>
          <w:rFonts w:ascii="Times New Roman" w:hAnsi="Times New Roman" w:cs="Times New Roman"/>
        </w:rPr>
        <w:t xml:space="preserve"> schools fall into the "Unsafe Zone," showing a severe service gap in the north and east of the ward.</w:t>
      </w:r>
    </w:p>
    <w:p w14:paraId="320B37A7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DFFB047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F0712E4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6F51B73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E68BDEF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02EDFB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FC901B" w14:textId="434B68DE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lastRenderedPageBreak/>
        <w:t>Figure 4: Safe &amp; Unsafe Zone: Fire Station Coverage (500m)</w:t>
      </w:r>
    </w:p>
    <w:p w14:paraId="25599E17" w14:textId="36686695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3441F6" wp14:editId="29D63CA9">
            <wp:extent cx="5731510" cy="4053205"/>
            <wp:effectExtent l="0" t="0" r="2540" b="4445"/>
            <wp:docPr id="1647116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16298" name="Picture 16471162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3DF6" w14:textId="6C4007E6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</w:p>
    <w:p w14:paraId="3723049F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t>6. Section 5: Environmental Risk and Infrastructure Expansion</w:t>
      </w:r>
    </w:p>
    <w:p w14:paraId="55752426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</w:rPr>
        <w:t>Finally, we look at future development. As the ward seeks to improve the roads mentioned in the base map, there is an ecological cost. This map uses a 5-meter proximity buffer to identify at-risk greenery.</w:t>
      </w:r>
    </w:p>
    <w:p w14:paraId="21DAB113" w14:textId="46DACAF2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  <w:b/>
          <w:bCs/>
        </w:rPr>
        <w:t>Insight:</w:t>
      </w:r>
      <w:r w:rsidRPr="00E939FD">
        <w:rPr>
          <w:rFonts w:ascii="Times New Roman" w:hAnsi="Times New Roman" w:cs="Times New Roman"/>
        </w:rPr>
        <w:t xml:space="preserve"> Trees within 5 meters of minor roads are flagged as at-risk due to proposed widening. High concentrations of "Trees to cut" (red icons) signal zones where infrastructure expansion directly conflicts with the local ecosystem.</w:t>
      </w:r>
    </w:p>
    <w:p w14:paraId="45FA0A56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3C8E04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22F4247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1D21B6E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2266953" w14:textId="77777777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DC7DA80" w14:textId="347330DD" w:rsid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lastRenderedPageBreak/>
        <w:t>Place Figure 5: Trees Within 5m of Minor Road</w:t>
      </w:r>
    </w:p>
    <w:p w14:paraId="1179D1D6" w14:textId="361E84CD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D984E3" wp14:editId="5B781BFA">
            <wp:extent cx="5731510" cy="4053205"/>
            <wp:effectExtent l="0" t="0" r="2540" b="4445"/>
            <wp:docPr id="90442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2899" name="Picture 904428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4DF8" w14:textId="4CBD4014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</w:p>
    <w:p w14:paraId="0DBA0B66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39FD">
        <w:rPr>
          <w:rFonts w:ascii="Times New Roman" w:hAnsi="Times New Roman" w:cs="Times New Roman"/>
          <w:b/>
          <w:bCs/>
        </w:rPr>
        <w:t>7. Summary of Findings and Strategic Recommendations</w:t>
      </w:r>
    </w:p>
    <w:p w14:paraId="3553F58A" w14:textId="77777777" w:rsidR="00E939FD" w:rsidRPr="00E939FD" w:rsidRDefault="00E939FD" w:rsidP="00E939F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  <w:b/>
          <w:bCs/>
        </w:rPr>
        <w:t>Safety Realignment:</w:t>
      </w:r>
      <w:r w:rsidRPr="00E939FD">
        <w:rPr>
          <w:rFonts w:ascii="Times New Roman" w:hAnsi="Times New Roman" w:cs="Times New Roman"/>
        </w:rPr>
        <w:t xml:space="preserve"> Relocating or establishing a satellite fire post in the northern sector is required to cover the hospital and schools currently in the "Unsafe Zone."</w:t>
      </w:r>
    </w:p>
    <w:p w14:paraId="70FF6C6C" w14:textId="77777777" w:rsidR="00E939FD" w:rsidRPr="00E939FD" w:rsidRDefault="00E939FD" w:rsidP="00E939F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  <w:b/>
          <w:bCs/>
        </w:rPr>
        <w:t>Balanced Expansion:</w:t>
      </w:r>
      <w:r w:rsidRPr="00E939FD">
        <w:rPr>
          <w:rFonts w:ascii="Times New Roman" w:hAnsi="Times New Roman" w:cs="Times New Roman"/>
        </w:rPr>
        <w:t xml:space="preserve"> Road widening projects must include a compensatory afforestation plan to offset the loss of trees identified in the 5m buffer zones.</w:t>
      </w:r>
    </w:p>
    <w:p w14:paraId="11EF5B68" w14:textId="77777777" w:rsidR="00E939FD" w:rsidRPr="00E939FD" w:rsidRDefault="00E939FD" w:rsidP="00E939F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939FD">
        <w:rPr>
          <w:rFonts w:ascii="Times New Roman" w:hAnsi="Times New Roman" w:cs="Times New Roman"/>
          <w:b/>
          <w:bCs/>
        </w:rPr>
        <w:t>Infrastructure Utilization:</w:t>
      </w:r>
      <w:r w:rsidRPr="00E939FD">
        <w:rPr>
          <w:rFonts w:ascii="Times New Roman" w:hAnsi="Times New Roman" w:cs="Times New Roman"/>
        </w:rPr>
        <w:t xml:space="preserve"> The high density of municipal schools suggests the ward is a young demographic hub, requiring strengthened pedestrian-safe corridors around these clusters.</w:t>
      </w:r>
    </w:p>
    <w:p w14:paraId="6628E2FC" w14:textId="77777777" w:rsidR="00E939FD" w:rsidRPr="00E939FD" w:rsidRDefault="00E939FD" w:rsidP="00E939F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939FD" w:rsidRPr="00E939FD" w:rsidSect="00E939F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5E9"/>
    <w:multiLevelType w:val="multilevel"/>
    <w:tmpl w:val="B264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04F79"/>
    <w:multiLevelType w:val="multilevel"/>
    <w:tmpl w:val="448A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636970">
    <w:abstractNumId w:val="1"/>
  </w:num>
  <w:num w:numId="2" w16cid:durableId="123535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FD"/>
    <w:rsid w:val="00E351DA"/>
    <w:rsid w:val="00E9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0017"/>
  <w15:chartTrackingRefBased/>
  <w15:docId w15:val="{D7D5B50A-8C9C-45B1-B06B-920ED5BD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3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prakash</dc:creator>
  <cp:keywords/>
  <dc:description/>
  <cp:lastModifiedBy>Aryan prakash</cp:lastModifiedBy>
  <cp:revision>1</cp:revision>
  <dcterms:created xsi:type="dcterms:W3CDTF">2026-02-17T04:59:00Z</dcterms:created>
  <dcterms:modified xsi:type="dcterms:W3CDTF">2026-02-17T05:09:00Z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0bbc3edd-a906-4165-9a28-563b895f65a9</vt:lpwstr>
  </property>
</Properties>
</file>