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4"/>
        </w:rPr>
        <w:t>Multimodal &amp; Graph-Enhanced Fake News Detection</w:t>
      </w:r>
    </w:p>
    <w:p>
      <w:pPr>
        <w:spacing w:after="360"/>
      </w:pPr>
      <w:r>
        <w:rPr>
          <w:rFonts w:ascii="Calibri" w:hAnsi="Calibri"/>
          <w:i/>
          <w:color w:val="4A5568"/>
          <w:sz w:val="26"/>
        </w:rPr>
        <w:t>Comprehensive Methodology, System Architecture, &amp; Experimental Report</w:t>
      </w:r>
    </w:p>
    <w:p>
      <w:pPr>
        <w:spacing w:after="280"/>
      </w:pPr>
      <w:r>
        <w:rPr>
          <w:color w:val="CBD5E0"/>
        </w:rPr>
        <w:t>_________________________________________________________________________________</w:t>
      </w:r>
    </w:p>
    <w:p>
      <w:pPr>
        <w:spacing w:before="320" w:after="120"/>
      </w:pPr>
      <w:r>
        <w:rPr>
          <w:rFonts w:ascii="Calibri" w:hAnsi="Calibri"/>
          <w:b/>
          <w:color w:val="2B6CB0"/>
          <w:sz w:val="30"/>
        </w:rPr>
        <w:t>1. Executive Summary &amp; Problem Motivation</w:t>
      </w:r>
    </w:p>
    <w:p>
      <w:pPr>
        <w:spacing w:after="120"/>
      </w:pPr>
      <w:r>
        <w:t>In modern social media ecosystems (such as Reddit), misinformation and deceptive narratives rarely exist in an isolated textual vacuum. Conventional detection frameworks rely almost exclusively on NLP stylometry, sentiment, or vocabulary cues. These techniques can be easily circumvented or will mistakenly flag authentic news that shares similar sensational phrasing.</w:t>
      </w:r>
    </w:p>
    <w:p>
      <w:pPr>
        <w:spacing w:after="240"/>
      </w:pPr>
      <w:r>
        <w:t>To resolve this, our project implements a hybrid deep-learning architecture fusing state-of-the-art Transformer language representations (ModernBERT) with Graph Neural Networks (GraphSAGE). By learning concurrently from semantic textual representations and community network topologies (shared authors, conversational threads, and submission links), the system achieves significantly superior discriminative accuracy over text-only approaches.</w:t>
      </w:r>
    </w:p>
    <w:p>
      <w:pPr>
        <w:spacing w:before="320" w:after="120"/>
      </w:pPr>
      <w:r>
        <w:rPr>
          <w:rFonts w:ascii="Calibri" w:hAnsi="Calibri"/>
          <w:b/>
          <w:color w:val="2B6CB0"/>
          <w:sz w:val="30"/>
        </w:rPr>
        <w:t>2. End-to-End Execution Pipeline</w:t>
      </w:r>
    </w:p>
    <w:p>
      <w:pPr>
        <w:spacing w:after="80"/>
        <w:ind w:left="288"/>
      </w:pPr>
      <w:r>
        <w:rPr>
          <w:b/>
          <w:color w:val="2C5282"/>
        </w:rPr>
        <w:t xml:space="preserve">• Step 1: Data Preprocessing (src/preprocessing.py): </w:t>
      </w:r>
      <w:r>
        <w:t>Cleans title text, handles sparse columns, imputes missing metadata, and produces standardized CSV partitions.</w:t>
      </w:r>
    </w:p>
    <w:p>
      <w:pPr>
        <w:spacing w:after="80"/>
        <w:ind w:left="288"/>
      </w:pPr>
      <w:r>
        <w:rPr>
          <w:b/>
          <w:color w:val="2C5282"/>
        </w:rPr>
        <w:t xml:space="preserve">• Step 2: Pilot Downsampling (src/create_pilot_data.py): </w:t>
      </w:r>
      <w:r>
        <w:t>Downsamples the 560,000+ raw entries into a balanced, reproducible 10,000-node experimental pilot dataset (80/10/10 split).</w:t>
      </w:r>
    </w:p>
    <w:p>
      <w:pPr>
        <w:spacing w:after="80"/>
        <w:ind w:left="288"/>
      </w:pPr>
      <w:r>
        <w:rPr>
          <w:b/>
          <w:color w:val="2C5282"/>
        </w:rPr>
        <w:t xml:space="preserve">• Step 3: Baseline Language Model Training (src/train_baseline.py): </w:t>
      </w:r>
      <w:r>
        <w:t>Fine-tunes the 2024 SOTA ModernBERT transformer on news titles to generate initial classification baselines and establish textual representations.</w:t>
      </w:r>
    </w:p>
    <w:p>
      <w:pPr>
        <w:spacing w:after="80"/>
        <w:ind w:left="288"/>
      </w:pPr>
      <w:r>
        <w:rPr>
          <w:b/>
          <w:color w:val="2C5282"/>
        </w:rPr>
        <w:t xml:space="preserve">• Step 4: Relational Graph Construction (src/graph_builder.py): </w:t>
      </w:r>
      <w:r>
        <w:t>Extracts explicit conversation citations (linked submissions) and implicit author relationships to establish a multi-edge relational graph.</w:t>
      </w:r>
    </w:p>
    <w:p>
      <w:pPr>
        <w:spacing w:after="80"/>
        <w:ind w:left="288"/>
      </w:pPr>
      <w:r>
        <w:rPr>
          <w:b/>
          <w:color w:val="2C5282"/>
        </w:rPr>
        <w:t xml:space="preserve">• Step 5: Node Feature Extraction (src/embedding_extraction.py): </w:t>
      </w:r>
      <w:r>
        <w:t>Encodes each post title into a 768-dimensional dense semantic embedding using the fine-tuned ModernBERT encoder checkpoint.</w:t>
      </w:r>
    </w:p>
    <w:p>
      <w:pPr>
        <w:spacing w:after="80"/>
        <w:ind w:left="288"/>
      </w:pPr>
      <w:r>
        <w:rPr>
          <w:b/>
          <w:color w:val="2C5282"/>
        </w:rPr>
        <w:t xml:space="preserve">• Step 6: Graph Neural Network Optimization (src/gnn_train.py): </w:t>
      </w:r>
      <w:r>
        <w:t>Trains GraphSAGE over the relational graph using inductive masking, enabling neighbor aggregation while preventing data leakage.</w:t>
      </w:r>
    </w:p>
    <w:p>
      <w:pPr>
        <w:spacing w:before="320" w:after="120"/>
      </w:pPr>
      <w:r>
        <w:rPr>
          <w:rFonts w:ascii="Calibri" w:hAnsi="Calibri"/>
          <w:b/>
          <w:color w:val="2B6CB0"/>
          <w:sz w:val="30"/>
        </w:rPr>
        <w:t>3. Dataset Characteristics (Fakeddit Benchmark)</w:t>
      </w:r>
    </w:p>
    <w:p>
      <w:r>
        <w:t>The experiments are evaluated on the standardized Fakeddit multimodal benchmark. The current verified pilot configuration consists of:</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Mar>
              <w:top w:w="120" w:type="dxa"/>
              <w:bottom w:w="120" w:type="dxa"/>
              <w:left w:w="150" w:type="dxa"/>
              <w:right w:w="150" w:type="dxa"/>
            </w:tcMar>
          </w:tcPr>
          <w:p>
            <w:pPr>
              <w:jc w:val="center"/>
            </w:pPr>
            <w:r>
              <w:rPr>
                <w:b/>
                <w:color w:val="FFFFFF"/>
              </w:rPr>
              <w:t>Dataset Partition</w:t>
            </w:r>
          </w:p>
        </w:tc>
        <w:tc>
          <w:tcPr>
            <w:tcW w:type="dxa" w:w="2340"/>
            <w:shd w:fill="2B6CB0"/>
            <w:tcMar>
              <w:top w:w="120" w:type="dxa"/>
              <w:bottom w:w="120" w:type="dxa"/>
              <w:left w:w="150" w:type="dxa"/>
              <w:right w:w="150" w:type="dxa"/>
            </w:tcMar>
          </w:tcPr>
          <w:p>
            <w:pPr>
              <w:jc w:val="center"/>
            </w:pPr>
            <w:r>
              <w:rPr>
                <w:b/>
                <w:color w:val="FFFFFF"/>
              </w:rPr>
              <w:t>Sample Count</w:t>
            </w:r>
          </w:p>
        </w:tc>
        <w:tc>
          <w:tcPr>
            <w:tcW w:type="dxa" w:w="2340"/>
            <w:shd w:fill="2B6CB0"/>
            <w:tcMar>
              <w:top w:w="120" w:type="dxa"/>
              <w:bottom w:w="120" w:type="dxa"/>
              <w:left w:w="150" w:type="dxa"/>
              <w:right w:w="150" w:type="dxa"/>
            </w:tcMar>
          </w:tcPr>
          <w:p>
            <w:pPr>
              <w:jc w:val="center"/>
            </w:pPr>
            <w:r>
              <w:rPr>
                <w:b/>
                <w:color w:val="FFFFFF"/>
              </w:rPr>
              <w:t>Percentage</w:t>
            </w:r>
          </w:p>
        </w:tc>
        <w:tc>
          <w:tcPr>
            <w:tcW w:type="dxa" w:w="2340"/>
            <w:shd w:fill="2B6CB0"/>
            <w:tcMar>
              <w:top w:w="120" w:type="dxa"/>
              <w:bottom w:w="120" w:type="dxa"/>
              <w:left w:w="150" w:type="dxa"/>
              <w:right w:w="150" w:type="dxa"/>
            </w:tcMar>
          </w:tcPr>
          <w:p>
            <w:pPr>
              <w:jc w:val="center"/>
            </w:pPr>
            <w:r>
              <w:rPr>
                <w:b/>
                <w:color w:val="FFFFFF"/>
              </w:rPr>
              <w:t>Role</w:t>
            </w:r>
          </w:p>
        </w:tc>
      </w:tr>
      <w:tr>
        <w:tc>
          <w:tcPr>
            <w:tcW w:type="dxa" w:w="2340"/>
            <w:tcMar>
              <w:top w:w="100" w:type="dxa"/>
              <w:bottom w:w="100" w:type="dxa"/>
              <w:left w:w="150" w:type="dxa"/>
              <w:right w:w="150" w:type="dxa"/>
            </w:tcMar>
          </w:tcPr>
          <w:p>
            <w:r>
              <w:t>Training Set</w:t>
            </w:r>
          </w:p>
        </w:tc>
        <w:tc>
          <w:tcPr>
            <w:tcW w:type="dxa" w:w="2340"/>
            <w:tcMar>
              <w:top w:w="100" w:type="dxa"/>
              <w:bottom w:w="100" w:type="dxa"/>
              <w:left w:w="150" w:type="dxa"/>
              <w:right w:w="150" w:type="dxa"/>
            </w:tcMar>
          </w:tcPr>
          <w:p>
            <w:pPr>
              <w:jc w:val="right"/>
            </w:pPr>
            <w:r>
              <w:t>8,000</w:t>
            </w:r>
          </w:p>
        </w:tc>
        <w:tc>
          <w:tcPr>
            <w:tcW w:type="dxa" w:w="2340"/>
            <w:tcMar>
              <w:top w:w="100" w:type="dxa"/>
              <w:bottom w:w="100" w:type="dxa"/>
              <w:left w:w="150" w:type="dxa"/>
              <w:right w:w="150" w:type="dxa"/>
            </w:tcMar>
          </w:tcPr>
          <w:p>
            <w:pPr>
              <w:jc w:val="right"/>
            </w:pPr>
            <w:r>
              <w:t>80.0%</w:t>
            </w:r>
          </w:p>
        </w:tc>
        <w:tc>
          <w:tcPr>
            <w:tcW w:type="dxa" w:w="2340"/>
            <w:tcMar>
              <w:top w:w="100" w:type="dxa"/>
              <w:bottom w:w="100" w:type="dxa"/>
              <w:left w:w="150" w:type="dxa"/>
              <w:right w:w="150" w:type="dxa"/>
            </w:tcMar>
          </w:tcPr>
          <w:p>
            <w:r>
              <w:t>Model parameter gradient updates</w:t>
            </w:r>
          </w:p>
        </w:tc>
      </w:tr>
      <w:tr>
        <w:tc>
          <w:tcPr>
            <w:tcW w:type="dxa" w:w="2340"/>
            <w:tcMar>
              <w:top w:w="100" w:type="dxa"/>
              <w:bottom w:w="100" w:type="dxa"/>
              <w:left w:w="150" w:type="dxa"/>
              <w:right w:w="150" w:type="dxa"/>
            </w:tcMar>
            <w:shd w:fill="EDF2F7"/>
          </w:tcPr>
          <w:p>
            <w:r>
              <w:t>Validation Set</w:t>
            </w:r>
          </w:p>
        </w:tc>
        <w:tc>
          <w:tcPr>
            <w:tcW w:type="dxa" w:w="2340"/>
            <w:tcMar>
              <w:top w:w="100" w:type="dxa"/>
              <w:bottom w:w="100" w:type="dxa"/>
              <w:left w:w="150" w:type="dxa"/>
              <w:right w:w="150" w:type="dxa"/>
            </w:tcMar>
            <w:shd w:fill="EDF2F7"/>
          </w:tcPr>
          <w:p>
            <w:pPr>
              <w:jc w:val="right"/>
            </w:pPr>
            <w:r>
              <w:t>1,000</w:t>
            </w:r>
          </w:p>
        </w:tc>
        <w:tc>
          <w:tcPr>
            <w:tcW w:type="dxa" w:w="2340"/>
            <w:tcMar>
              <w:top w:w="100" w:type="dxa"/>
              <w:bottom w:w="100" w:type="dxa"/>
              <w:left w:w="150" w:type="dxa"/>
              <w:right w:w="150" w:type="dxa"/>
            </w:tcMar>
            <w:shd w:fill="EDF2F7"/>
          </w:tcPr>
          <w:p>
            <w:pPr>
              <w:jc w:val="right"/>
            </w:pPr>
            <w:r>
              <w:t>10.0%</w:t>
            </w:r>
          </w:p>
        </w:tc>
        <w:tc>
          <w:tcPr>
            <w:tcW w:type="dxa" w:w="2340"/>
            <w:tcMar>
              <w:top w:w="100" w:type="dxa"/>
              <w:bottom w:w="100" w:type="dxa"/>
              <w:left w:w="150" w:type="dxa"/>
              <w:right w:w="150" w:type="dxa"/>
            </w:tcMar>
            <w:shd w:fill="EDF2F7"/>
          </w:tcPr>
          <w:p>
            <w:r>
              <w:t>Hyperparameter tuning &amp; early checkpointing</w:t>
            </w:r>
          </w:p>
        </w:tc>
      </w:tr>
      <w:tr>
        <w:tc>
          <w:tcPr>
            <w:tcW w:type="dxa" w:w="2340"/>
            <w:tcMar>
              <w:top w:w="100" w:type="dxa"/>
              <w:bottom w:w="100" w:type="dxa"/>
              <w:left w:w="150" w:type="dxa"/>
              <w:right w:w="150" w:type="dxa"/>
            </w:tcMar>
          </w:tcPr>
          <w:p>
            <w:r>
              <w:t>Test Set (Unseen)</w:t>
            </w:r>
          </w:p>
        </w:tc>
        <w:tc>
          <w:tcPr>
            <w:tcW w:type="dxa" w:w="2340"/>
            <w:tcMar>
              <w:top w:w="100" w:type="dxa"/>
              <w:bottom w:w="100" w:type="dxa"/>
              <w:left w:w="150" w:type="dxa"/>
              <w:right w:w="150" w:type="dxa"/>
            </w:tcMar>
          </w:tcPr>
          <w:p>
            <w:pPr>
              <w:jc w:val="right"/>
            </w:pPr>
            <w:r>
              <w:t>1,000</w:t>
            </w:r>
          </w:p>
        </w:tc>
        <w:tc>
          <w:tcPr>
            <w:tcW w:type="dxa" w:w="2340"/>
            <w:tcMar>
              <w:top w:w="100" w:type="dxa"/>
              <w:bottom w:w="100" w:type="dxa"/>
              <w:left w:w="150" w:type="dxa"/>
              <w:right w:w="150" w:type="dxa"/>
            </w:tcMar>
          </w:tcPr>
          <w:p>
            <w:pPr>
              <w:jc w:val="right"/>
            </w:pPr>
            <w:r>
              <w:t>10.0%</w:t>
            </w:r>
          </w:p>
        </w:tc>
        <w:tc>
          <w:tcPr>
            <w:tcW w:type="dxa" w:w="2340"/>
            <w:tcMar>
              <w:top w:w="100" w:type="dxa"/>
              <w:bottom w:w="100" w:type="dxa"/>
              <w:left w:w="150" w:type="dxa"/>
              <w:right w:w="150" w:type="dxa"/>
            </w:tcMar>
          </w:tcPr>
          <w:p>
            <w:r>
              <w:t>Independent real-world evaluation</w:t>
            </w:r>
          </w:p>
        </w:tc>
      </w:tr>
    </w:tbl>
    <w:p>
      <w:pPr>
        <w:spacing w:after="200"/>
      </w:pPr>
    </w:p>
    <w:p>
      <w:pPr>
        <w:spacing w:before="320" w:after="120"/>
      </w:pPr>
      <w:r>
        <w:rPr>
          <w:rFonts w:ascii="Calibri" w:hAnsi="Calibri"/>
          <w:b/>
          <w:color w:val="2B6CB0"/>
          <w:sz w:val="30"/>
        </w:rPr>
        <w:t>4. Technical Methodologies &amp; System Architecture</w:t>
      </w:r>
    </w:p>
    <w:p>
      <w:pPr>
        <w:spacing w:before="240" w:after="80"/>
      </w:pPr>
      <w:r>
        <w:rPr>
          <w:rFonts w:ascii="Calibri" w:hAnsi="Calibri"/>
          <w:b/>
          <w:color w:val="2D3748"/>
          <w:sz w:val="25"/>
        </w:rPr>
        <w:t>A. Semantic Encoder: ModernBERT-base</w:t>
      </w:r>
    </w:p>
    <w:p>
      <w:r>
        <w:t>ModernBERT (released late 2024 by Answer.AI and LightOn) serves as our foundational text encoder. Unlike legacy BERT or DistilBERT, ModernBERT natively supports:</w:t>
      </w:r>
    </w:p>
    <w:p>
      <w:pPr>
        <w:pStyle w:val="ListBullet"/>
        <w:spacing w:after="60"/>
      </w:pPr>
      <w:r>
        <w:t>Rotary Positional Embeddings (RoPE) replacing absolute positional encodings.</w:t>
      </w:r>
    </w:p>
    <w:p>
      <w:pPr>
        <w:pStyle w:val="ListBullet"/>
        <w:spacing w:after="60"/>
      </w:pPr>
      <w:r>
        <w:t>Native FlashAttention-2 kernels enabling ultra-fast token processing and lower VRAM usage.</w:t>
      </w:r>
    </w:p>
    <w:p>
      <w:pPr>
        <w:pStyle w:val="ListBullet"/>
        <w:spacing w:after="60"/>
      </w:pPr>
      <w:r>
        <w:t>8,192 token maximum sequence capacity (scalable to full article bodies).</w:t>
      </w:r>
    </w:p>
    <w:p>
      <w:pPr>
        <w:pStyle w:val="ListBullet"/>
        <w:spacing w:after="60"/>
      </w:pPr>
      <w:r>
        <w:t>Higher representation capacity yielding superior downstream embeddings for graph nodes.</w:t>
      </w:r>
    </w:p>
    <w:p>
      <w:pPr>
        <w:spacing w:before="240" w:after="80"/>
      </w:pPr>
      <w:r>
        <w:rPr>
          <w:rFonts w:ascii="Calibri" w:hAnsi="Calibri"/>
          <w:b/>
          <w:color w:val="2D3748"/>
          <w:sz w:val="25"/>
        </w:rPr>
        <w:t>B. Graph Construction &amp; Community Modeling</w:t>
      </w:r>
    </w:p>
    <w:p>
      <w:r>
        <w:t>The graph is modeled as a homogeneous network G = (V, E) where each post corresponds to a node. Edges connect nodes using both explicit and implicit behavioral features:</w:t>
      </w:r>
    </w:p>
    <w:p>
      <w:pPr>
        <w:pStyle w:val="ListBullet"/>
        <w:spacing w:after="60"/>
      </w:pPr>
      <w:r>
        <w:t>Explicit Discussion Links: 104 directed edges generated from Reddit's linked_submission_id, capturing citation and response trees.</w:t>
      </w:r>
    </w:p>
    <w:p>
      <w:pPr>
        <w:pStyle w:val="ListBullet"/>
        <w:spacing w:after="60"/>
      </w:pPr>
      <w:r>
        <w:t>Shared Author Activity: 9,828 directed edges generated between posts submitted by the same author.</w:t>
      </w:r>
    </w:p>
    <w:p>
      <w:pPr>
        <w:pStyle w:val="ListBullet"/>
        <w:spacing w:after="60"/>
      </w:pPr>
      <w:r>
        <w:t>High-Degree Bot Pruning: Accounts producing more than 50 posts are capped to prevent over-smoothing and memory saturation.</w:t>
      </w:r>
    </w:p>
    <w:p>
      <w:pPr>
        <w:spacing w:before="240" w:after="80"/>
      </w:pPr>
      <w:r>
        <w:rPr>
          <w:rFonts w:ascii="Calibri" w:hAnsi="Calibri"/>
          <w:b/>
          <w:color w:val="2D3748"/>
          <w:sz w:val="25"/>
        </w:rPr>
        <w:t>C. GraphSAGE Inductive Learning</w:t>
      </w:r>
    </w:p>
    <w:p>
      <w:r>
        <w:t>GraphSAGE (Sample and Aggregate) learns localized aggregation functions across a node's local neighborhood. At step k, node v aggregates representations from neighbors N(v):</w:t>
      </w:r>
    </w:p>
    <w:p>
      <w:pPr>
        <w:ind w:left="576"/>
      </w:pPr>
      <w:r>
        <w:rPr>
          <w:rFonts w:ascii="Consolas" w:hAnsi="Consolas"/>
          <w:b/>
          <w:color w:val="2D3748"/>
        </w:rPr>
        <w:t>h_v^(k) = σ( W^(k) · CONCAT[ h_v^(k-1) , AGGREGATE( {h_u^(k-1), ∀ u ∈ N(v)} ) ] )</w:t>
      </w:r>
    </w:p>
    <w:p>
      <w:r>
        <w:t>Crucially, transductive boolean masks (train_mask, val_mask, test_mask) are utilized so that loss gradients are strictly computed over training nodes, preventing any data or label leakage from testing sets.</w:t>
      </w:r>
    </w:p>
    <w:p>
      <w:pPr>
        <w:spacing w:before="320" w:after="120"/>
      </w:pPr>
      <w:r>
        <w:rPr>
          <w:rFonts w:ascii="Calibri" w:hAnsi="Calibri"/>
          <w:b/>
          <w:color w:val="2B6CB0"/>
          <w:sz w:val="30"/>
        </w:rPr>
        <w:t>5. Experimental Results &amp; Performance Comparison</w:t>
      </w:r>
    </w:p>
    <w:p>
      <w:r>
        <w:t>The empirical findings clearly indicate that the social graph context provides essential discriminative signals that allow the model to surpass text-only capabilities: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B6CB0"/>
            <w:tcMar>
              <w:top w:w="120" w:type="dxa"/>
              <w:bottom w:w="120" w:type="dxa"/>
              <w:left w:w="120" w:type="dxa"/>
              <w:right w:w="120" w:type="dxa"/>
            </w:tcMar>
          </w:tcPr>
          <w:p>
            <w:pPr>
              <w:jc w:val="center"/>
            </w:pPr>
            <w:r>
              <w:rPr>
                <w:b/>
                <w:color w:val="FFFFFF"/>
              </w:rPr>
              <w:t>Model / Pipeline Stage</w:t>
            </w:r>
          </w:p>
        </w:tc>
        <w:tc>
          <w:tcPr>
            <w:tcW w:type="dxa" w:w="1872"/>
            <w:shd w:fill="2B6CB0"/>
            <w:tcMar>
              <w:top w:w="120" w:type="dxa"/>
              <w:bottom w:w="120" w:type="dxa"/>
              <w:left w:w="120" w:type="dxa"/>
              <w:right w:w="120" w:type="dxa"/>
            </w:tcMar>
          </w:tcPr>
          <w:p>
            <w:pPr>
              <w:jc w:val="center"/>
            </w:pPr>
            <w:r>
              <w:rPr>
                <w:b/>
                <w:color w:val="FFFFFF"/>
              </w:rPr>
              <w:t>Val Accuracy</w:t>
            </w:r>
          </w:p>
        </w:tc>
        <w:tc>
          <w:tcPr>
            <w:tcW w:type="dxa" w:w="1872"/>
            <w:shd w:fill="2B6CB0"/>
            <w:tcMar>
              <w:top w:w="120" w:type="dxa"/>
              <w:bottom w:w="120" w:type="dxa"/>
              <w:left w:w="120" w:type="dxa"/>
              <w:right w:w="120" w:type="dxa"/>
            </w:tcMar>
          </w:tcPr>
          <w:p>
            <w:pPr>
              <w:jc w:val="center"/>
            </w:pPr>
            <w:r>
              <w:rPr>
                <w:b/>
                <w:color w:val="FFFFFF"/>
              </w:rPr>
              <w:t>Val F1</w:t>
            </w:r>
          </w:p>
        </w:tc>
        <w:tc>
          <w:tcPr>
            <w:tcW w:type="dxa" w:w="1872"/>
            <w:shd w:fill="2B6CB0"/>
            <w:tcMar>
              <w:top w:w="120" w:type="dxa"/>
              <w:bottom w:w="120" w:type="dxa"/>
              <w:left w:w="120" w:type="dxa"/>
              <w:right w:w="120" w:type="dxa"/>
            </w:tcMar>
          </w:tcPr>
          <w:p>
            <w:pPr>
              <w:jc w:val="center"/>
            </w:pPr>
            <w:r>
              <w:rPr>
                <w:b/>
                <w:color w:val="FFFFFF"/>
              </w:rPr>
              <w:t>Test Accuracy</w:t>
            </w:r>
          </w:p>
        </w:tc>
        <w:tc>
          <w:tcPr>
            <w:tcW w:type="dxa" w:w="1872"/>
            <w:shd w:fill="2B6CB0"/>
            <w:tcMar>
              <w:top w:w="120" w:type="dxa"/>
              <w:bottom w:w="120" w:type="dxa"/>
              <w:left w:w="120" w:type="dxa"/>
              <w:right w:w="120" w:type="dxa"/>
            </w:tcMar>
          </w:tcPr>
          <w:p>
            <w:pPr>
              <w:jc w:val="center"/>
            </w:pPr>
            <w:r>
              <w:rPr>
                <w:b/>
                <w:color w:val="FFFFFF"/>
              </w:rPr>
              <w:t>Test F1</w:t>
            </w:r>
          </w:p>
        </w:tc>
      </w:tr>
      <w:tr>
        <w:tc>
          <w:tcPr>
            <w:tcW w:type="dxa" w:w="1872"/>
            <w:tcMar>
              <w:top w:w="100" w:type="dxa"/>
              <w:bottom w:w="100" w:type="dxa"/>
              <w:left w:w="120" w:type="dxa"/>
              <w:right w:w="120" w:type="dxa"/>
            </w:tcMar>
          </w:tcPr>
          <w:p>
            <w:r>
              <w:t>Phase 1: ModernBERT Baseline (Text Only)</w:t>
            </w:r>
          </w:p>
        </w:tc>
        <w:tc>
          <w:tcPr>
            <w:tcW w:type="dxa" w:w="1872"/>
            <w:tcMar>
              <w:top w:w="100" w:type="dxa"/>
              <w:bottom w:w="100" w:type="dxa"/>
              <w:left w:w="120" w:type="dxa"/>
              <w:right w:w="120" w:type="dxa"/>
            </w:tcMar>
          </w:tcPr>
          <w:p>
            <w:pPr>
              <w:jc w:val="right"/>
            </w:pPr>
            <w:r>
              <w:t>83.40%</w:t>
            </w:r>
          </w:p>
        </w:tc>
        <w:tc>
          <w:tcPr>
            <w:tcW w:type="dxa" w:w="1872"/>
            <w:tcMar>
              <w:top w:w="100" w:type="dxa"/>
              <w:bottom w:w="100" w:type="dxa"/>
              <w:left w:w="120" w:type="dxa"/>
              <w:right w:w="120" w:type="dxa"/>
            </w:tcMar>
          </w:tcPr>
          <w:p>
            <w:pPr>
              <w:jc w:val="right"/>
            </w:pPr>
            <w:r>
              <w:t>0.7883</w:t>
            </w:r>
          </w:p>
        </w:tc>
        <w:tc>
          <w:tcPr>
            <w:tcW w:type="dxa" w:w="1872"/>
            <w:tcMar>
              <w:top w:w="100" w:type="dxa"/>
              <w:bottom w:w="100" w:type="dxa"/>
              <w:left w:w="120" w:type="dxa"/>
              <w:right w:w="120" w:type="dxa"/>
            </w:tcMar>
          </w:tcPr>
          <w:p>
            <w:pPr>
              <w:jc w:val="right"/>
            </w:pPr>
            <w:r>
              <w:t>—</w:t>
            </w:r>
          </w:p>
        </w:tc>
        <w:tc>
          <w:tcPr>
            <w:tcW w:type="dxa" w:w="1872"/>
            <w:tcMar>
              <w:top w:w="100" w:type="dxa"/>
              <w:bottom w:w="100" w:type="dxa"/>
              <w:left w:w="120" w:type="dxa"/>
              <w:right w:w="120" w:type="dxa"/>
            </w:tcMar>
          </w:tcPr>
          <w:p>
            <w:pPr>
              <w:jc w:val="right"/>
            </w:pPr>
            <w:r>
              <w:t>—</w:t>
            </w:r>
          </w:p>
        </w:tc>
      </w:tr>
      <w:tr>
        <w:tc>
          <w:tcPr>
            <w:tcW w:type="dxa" w:w="1872"/>
            <w:tcMar>
              <w:top w:w="100" w:type="dxa"/>
              <w:bottom w:w="100" w:type="dxa"/>
              <w:left w:w="120" w:type="dxa"/>
              <w:right w:w="120" w:type="dxa"/>
            </w:tcMar>
            <w:shd w:fill="EBF8FF"/>
          </w:tcPr>
          <w:p>
            <w:r>
              <w:t>Phase 4: GraphSAGE (Text + Social Graph)</w:t>
            </w:r>
          </w:p>
        </w:tc>
        <w:tc>
          <w:tcPr>
            <w:tcW w:type="dxa" w:w="1872"/>
            <w:tcMar>
              <w:top w:w="100" w:type="dxa"/>
              <w:bottom w:w="100" w:type="dxa"/>
              <w:left w:w="120" w:type="dxa"/>
              <w:right w:w="120" w:type="dxa"/>
            </w:tcMar>
            <w:shd w:fill="EBF8FF"/>
          </w:tcPr>
          <w:p>
            <w:pPr>
              <w:jc w:val="right"/>
            </w:pPr>
            <w:r>
              <w:rPr>
                <w:b/>
              </w:rPr>
              <w:t>85.60%</w:t>
            </w:r>
          </w:p>
        </w:tc>
        <w:tc>
          <w:tcPr>
            <w:tcW w:type="dxa" w:w="1872"/>
            <w:tcMar>
              <w:top w:w="100" w:type="dxa"/>
              <w:bottom w:w="100" w:type="dxa"/>
              <w:left w:w="120" w:type="dxa"/>
              <w:right w:w="120" w:type="dxa"/>
            </w:tcMar>
            <w:shd w:fill="EBF8FF"/>
          </w:tcPr>
          <w:p>
            <w:pPr>
              <w:jc w:val="right"/>
            </w:pPr>
            <w:r>
              <w:rPr>
                <w:b/>
              </w:rPr>
              <w:t>0.8159</w:t>
            </w:r>
          </w:p>
        </w:tc>
        <w:tc>
          <w:tcPr>
            <w:tcW w:type="dxa" w:w="1872"/>
            <w:tcMar>
              <w:top w:w="100" w:type="dxa"/>
              <w:bottom w:w="100" w:type="dxa"/>
              <w:left w:w="120" w:type="dxa"/>
              <w:right w:w="120" w:type="dxa"/>
            </w:tcMar>
            <w:shd w:fill="EBF8FF"/>
          </w:tcPr>
          <w:p>
            <w:pPr>
              <w:jc w:val="right"/>
            </w:pPr>
            <w:r>
              <w:rPr>
                <w:b/>
              </w:rPr>
              <w:t>86.20%</w:t>
            </w:r>
          </w:p>
        </w:tc>
        <w:tc>
          <w:tcPr>
            <w:tcW w:type="dxa" w:w="1872"/>
            <w:tcMar>
              <w:top w:w="100" w:type="dxa"/>
              <w:bottom w:w="100" w:type="dxa"/>
              <w:left w:w="120" w:type="dxa"/>
              <w:right w:w="120" w:type="dxa"/>
            </w:tcMar>
            <w:shd w:fill="EBF8FF"/>
          </w:tcPr>
          <w:p>
            <w:pPr>
              <w:jc w:val="right"/>
            </w:pPr>
            <w:r>
              <w:rPr>
                <w:b/>
              </w:rPr>
              <w:t>0.8333</w:t>
            </w:r>
          </w:p>
        </w:tc>
      </w:tr>
    </w:tbl>
    <w:p>
      <w:pPr>
        <w:spacing w:after="200"/>
      </w:pPr>
    </w:p>
    <w:p>
      <w:pPr>
        <w:spacing w:before="240" w:after="80"/>
      </w:pPr>
      <w:r>
        <w:rPr>
          <w:rFonts w:ascii="Calibri" w:hAnsi="Calibri"/>
          <w:b/>
          <w:color w:val="2D3748"/>
          <w:sz w:val="25"/>
        </w:rPr>
        <w:t>Detailed Test Set Classification Metrics (GraphSAGE)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4A5568"/>
            <w:tcMar>
              <w:top w:w="100" w:type="dxa"/>
              <w:bottom w:w="100" w:type="dxa"/>
              <w:left w:w="120" w:type="dxa"/>
              <w:right w:w="120" w:type="dxa"/>
            </w:tcMar>
          </w:tcPr>
          <w:p>
            <w:pPr>
              <w:jc w:val="center"/>
            </w:pPr>
            <w:r>
              <w:rPr>
                <w:b/>
                <w:color w:val="FFFFFF"/>
              </w:rPr>
              <w:t>Class Target</w:t>
            </w:r>
          </w:p>
        </w:tc>
        <w:tc>
          <w:tcPr>
            <w:tcW w:type="dxa" w:w="1872"/>
            <w:shd w:fill="4A5568"/>
            <w:tcMar>
              <w:top w:w="100" w:type="dxa"/>
              <w:bottom w:w="100" w:type="dxa"/>
              <w:left w:w="120" w:type="dxa"/>
              <w:right w:w="120" w:type="dxa"/>
            </w:tcMar>
          </w:tcPr>
          <w:p>
            <w:pPr>
              <w:jc w:val="center"/>
            </w:pPr>
            <w:r>
              <w:rPr>
                <w:b/>
                <w:color w:val="FFFFFF"/>
              </w:rPr>
              <w:t>Precision</w:t>
            </w:r>
          </w:p>
        </w:tc>
        <w:tc>
          <w:tcPr>
            <w:tcW w:type="dxa" w:w="1872"/>
            <w:shd w:fill="4A5568"/>
            <w:tcMar>
              <w:top w:w="100" w:type="dxa"/>
              <w:bottom w:w="100" w:type="dxa"/>
              <w:left w:w="120" w:type="dxa"/>
              <w:right w:w="120" w:type="dxa"/>
            </w:tcMar>
          </w:tcPr>
          <w:p>
            <w:pPr>
              <w:jc w:val="center"/>
            </w:pPr>
            <w:r>
              <w:rPr>
                <w:b/>
                <w:color w:val="FFFFFF"/>
              </w:rPr>
              <w:t>Recall</w:t>
            </w:r>
          </w:p>
        </w:tc>
        <w:tc>
          <w:tcPr>
            <w:tcW w:type="dxa" w:w="1872"/>
            <w:shd w:fill="4A5568"/>
            <w:tcMar>
              <w:top w:w="100" w:type="dxa"/>
              <w:bottom w:w="100" w:type="dxa"/>
              <w:left w:w="120" w:type="dxa"/>
              <w:right w:w="120" w:type="dxa"/>
            </w:tcMar>
          </w:tcPr>
          <w:p>
            <w:pPr>
              <w:jc w:val="center"/>
            </w:pPr>
            <w:r>
              <w:rPr>
                <w:b/>
                <w:color w:val="FFFFFF"/>
              </w:rPr>
              <w:t>F1-Score</w:t>
            </w:r>
          </w:p>
        </w:tc>
        <w:tc>
          <w:tcPr>
            <w:tcW w:type="dxa" w:w="1872"/>
            <w:shd w:fill="4A5568"/>
            <w:tcMar>
              <w:top w:w="100" w:type="dxa"/>
              <w:bottom w:w="100" w:type="dxa"/>
              <w:left w:w="120" w:type="dxa"/>
              <w:right w:w="120" w:type="dxa"/>
            </w:tcMar>
          </w:tcPr>
          <w:p>
            <w:pPr>
              <w:jc w:val="center"/>
            </w:pPr>
            <w:r>
              <w:rPr>
                <w:b/>
                <w:color w:val="FFFFFF"/>
              </w:rPr>
              <w:t>Support Count</w:t>
            </w:r>
          </w:p>
        </w:tc>
      </w:tr>
      <w:tr>
        <w:tc>
          <w:tcPr>
            <w:tcW w:type="dxa" w:w="1872"/>
            <w:tcMar>
              <w:top w:w="80" w:type="dxa"/>
              <w:bottom w:w="80" w:type="dxa"/>
              <w:left w:w="120" w:type="dxa"/>
              <w:right w:w="120" w:type="dxa"/>
            </w:tcMar>
          </w:tcPr>
          <w:p>
            <w:r>
              <w:t>Class 0 (Authentic / Real)</w:t>
            </w:r>
          </w:p>
        </w:tc>
        <w:tc>
          <w:tcPr>
            <w:tcW w:type="dxa" w:w="1872"/>
            <w:tcMar>
              <w:top w:w="80" w:type="dxa"/>
              <w:bottom w:w="80" w:type="dxa"/>
              <w:left w:w="120" w:type="dxa"/>
              <w:right w:w="120" w:type="dxa"/>
            </w:tcMar>
          </w:tcPr>
          <w:p>
            <w:pPr>
              <w:jc w:val="right"/>
            </w:pPr>
            <w:r>
              <w:t>0.8838</w:t>
            </w:r>
          </w:p>
        </w:tc>
        <w:tc>
          <w:tcPr>
            <w:tcW w:type="dxa" w:w="1872"/>
            <w:tcMar>
              <w:top w:w="80" w:type="dxa"/>
              <w:bottom w:w="80" w:type="dxa"/>
              <w:left w:w="120" w:type="dxa"/>
              <w:right w:w="120" w:type="dxa"/>
            </w:tcMar>
          </w:tcPr>
          <w:p>
            <w:pPr>
              <w:jc w:val="right"/>
            </w:pPr>
            <w:r>
              <w:t>0.8807</w:t>
            </w:r>
          </w:p>
        </w:tc>
        <w:tc>
          <w:tcPr>
            <w:tcW w:type="dxa" w:w="1872"/>
            <w:tcMar>
              <w:top w:w="80" w:type="dxa"/>
              <w:bottom w:w="80" w:type="dxa"/>
              <w:left w:w="120" w:type="dxa"/>
              <w:right w:w="120" w:type="dxa"/>
            </w:tcMar>
          </w:tcPr>
          <w:p>
            <w:pPr>
              <w:jc w:val="right"/>
            </w:pPr>
            <w:r>
              <w:t>0.8823</w:t>
            </w:r>
          </w:p>
        </w:tc>
        <w:tc>
          <w:tcPr>
            <w:tcW w:type="dxa" w:w="1872"/>
            <w:tcMar>
              <w:top w:w="80" w:type="dxa"/>
              <w:bottom w:w="80" w:type="dxa"/>
              <w:left w:w="120" w:type="dxa"/>
              <w:right w:w="120" w:type="dxa"/>
            </w:tcMar>
          </w:tcPr>
          <w:p>
            <w:pPr>
              <w:jc w:val="right"/>
            </w:pPr>
            <w:r>
              <w:t>587</w:t>
            </w:r>
          </w:p>
        </w:tc>
      </w:tr>
      <w:tr>
        <w:tc>
          <w:tcPr>
            <w:tcW w:type="dxa" w:w="1872"/>
            <w:tcMar>
              <w:top w:w="80" w:type="dxa"/>
              <w:bottom w:w="80" w:type="dxa"/>
              <w:left w:w="120" w:type="dxa"/>
              <w:right w:w="120" w:type="dxa"/>
            </w:tcMar>
          </w:tcPr>
          <w:p>
            <w:r>
              <w:t>Class 1 (Fake / Deceptive)</w:t>
            </w:r>
          </w:p>
        </w:tc>
        <w:tc>
          <w:tcPr>
            <w:tcW w:type="dxa" w:w="1872"/>
            <w:tcMar>
              <w:top w:w="80" w:type="dxa"/>
              <w:bottom w:w="80" w:type="dxa"/>
              <w:left w:w="120" w:type="dxa"/>
              <w:right w:w="120" w:type="dxa"/>
            </w:tcMar>
          </w:tcPr>
          <w:p>
            <w:pPr>
              <w:jc w:val="right"/>
            </w:pPr>
            <w:r>
              <w:t>0.8313</w:t>
            </w:r>
          </w:p>
        </w:tc>
        <w:tc>
          <w:tcPr>
            <w:tcW w:type="dxa" w:w="1872"/>
            <w:tcMar>
              <w:top w:w="80" w:type="dxa"/>
              <w:bottom w:w="80" w:type="dxa"/>
              <w:left w:w="120" w:type="dxa"/>
              <w:right w:w="120" w:type="dxa"/>
            </w:tcMar>
          </w:tcPr>
          <w:p>
            <w:pPr>
              <w:jc w:val="right"/>
            </w:pPr>
            <w:r>
              <w:t>0.8354</w:t>
            </w:r>
          </w:p>
        </w:tc>
        <w:tc>
          <w:tcPr>
            <w:tcW w:type="dxa" w:w="1872"/>
            <w:tcMar>
              <w:top w:w="80" w:type="dxa"/>
              <w:bottom w:w="80" w:type="dxa"/>
              <w:left w:w="120" w:type="dxa"/>
              <w:right w:w="120" w:type="dxa"/>
            </w:tcMar>
          </w:tcPr>
          <w:p>
            <w:pPr>
              <w:jc w:val="right"/>
            </w:pPr>
            <w:r>
              <w:t>0.8333</w:t>
            </w:r>
          </w:p>
        </w:tc>
        <w:tc>
          <w:tcPr>
            <w:tcW w:type="dxa" w:w="1872"/>
            <w:tcMar>
              <w:top w:w="80" w:type="dxa"/>
              <w:bottom w:w="80" w:type="dxa"/>
              <w:left w:w="120" w:type="dxa"/>
              <w:right w:w="120" w:type="dxa"/>
            </w:tcMar>
          </w:tcPr>
          <w:p>
            <w:pPr>
              <w:jc w:val="right"/>
            </w:pPr>
            <w:r>
              <w:t>413</w:t>
            </w:r>
          </w:p>
        </w:tc>
      </w:tr>
      <w:tr>
        <w:tc>
          <w:tcPr>
            <w:tcW w:type="dxa" w:w="1872"/>
            <w:tcMar>
              <w:top w:w="80" w:type="dxa"/>
              <w:bottom w:w="80" w:type="dxa"/>
              <w:left w:w="120" w:type="dxa"/>
              <w:right w:w="120" w:type="dxa"/>
            </w:tcMar>
            <w:shd w:fill="EDF2F7"/>
          </w:tcPr>
          <w:p>
            <w:r>
              <w:t>Macro Average</w:t>
            </w:r>
          </w:p>
        </w:tc>
        <w:tc>
          <w:tcPr>
            <w:tcW w:type="dxa" w:w="1872"/>
            <w:tcMar>
              <w:top w:w="80" w:type="dxa"/>
              <w:bottom w:w="80" w:type="dxa"/>
              <w:left w:w="120" w:type="dxa"/>
              <w:right w:w="120" w:type="dxa"/>
            </w:tcMar>
            <w:shd w:fill="EDF2F7"/>
          </w:tcPr>
          <w:p>
            <w:pPr>
              <w:jc w:val="right"/>
            </w:pPr>
            <w:r>
              <w:t>0.8575</w:t>
            </w:r>
          </w:p>
        </w:tc>
        <w:tc>
          <w:tcPr>
            <w:tcW w:type="dxa" w:w="1872"/>
            <w:tcMar>
              <w:top w:w="80" w:type="dxa"/>
              <w:bottom w:w="80" w:type="dxa"/>
              <w:left w:w="120" w:type="dxa"/>
              <w:right w:w="120" w:type="dxa"/>
            </w:tcMar>
            <w:shd w:fill="EDF2F7"/>
          </w:tcPr>
          <w:p>
            <w:pPr>
              <w:jc w:val="right"/>
            </w:pPr>
            <w:r>
              <w:t>0.8581</w:t>
            </w:r>
          </w:p>
        </w:tc>
        <w:tc>
          <w:tcPr>
            <w:tcW w:type="dxa" w:w="1872"/>
            <w:tcMar>
              <w:top w:w="80" w:type="dxa"/>
              <w:bottom w:w="80" w:type="dxa"/>
              <w:left w:w="120" w:type="dxa"/>
              <w:right w:w="120" w:type="dxa"/>
            </w:tcMar>
            <w:shd w:fill="EDF2F7"/>
          </w:tcPr>
          <w:p>
            <w:pPr>
              <w:jc w:val="right"/>
            </w:pPr>
            <w:r>
              <w:t>0.8578</w:t>
            </w:r>
          </w:p>
        </w:tc>
        <w:tc>
          <w:tcPr>
            <w:tcW w:type="dxa" w:w="1872"/>
            <w:tcMar>
              <w:top w:w="80" w:type="dxa"/>
              <w:bottom w:w="80" w:type="dxa"/>
              <w:left w:w="120" w:type="dxa"/>
              <w:right w:w="120" w:type="dxa"/>
            </w:tcMar>
            <w:shd w:fill="EDF2F7"/>
          </w:tcPr>
          <w:p>
            <w:pPr>
              <w:jc w:val="right"/>
            </w:pPr>
            <w:r>
              <w:t>1,000</w:t>
            </w:r>
          </w:p>
        </w:tc>
      </w:tr>
      <w:tr>
        <w:tc>
          <w:tcPr>
            <w:tcW w:type="dxa" w:w="1872"/>
            <w:tcMar>
              <w:top w:w="80" w:type="dxa"/>
              <w:bottom w:w="80" w:type="dxa"/>
              <w:left w:w="120" w:type="dxa"/>
              <w:right w:w="120" w:type="dxa"/>
            </w:tcMar>
            <w:shd w:fill="EDF2F7"/>
          </w:tcPr>
          <w:p>
            <w:r>
              <w:t>Weighted Average / Overall</w:t>
            </w:r>
          </w:p>
        </w:tc>
        <w:tc>
          <w:tcPr>
            <w:tcW w:type="dxa" w:w="1872"/>
            <w:tcMar>
              <w:top w:w="80" w:type="dxa"/>
              <w:bottom w:w="80" w:type="dxa"/>
              <w:left w:w="120" w:type="dxa"/>
              <w:right w:w="120" w:type="dxa"/>
            </w:tcMar>
            <w:shd w:fill="EDF2F7"/>
          </w:tcPr>
          <w:p>
            <w:pPr>
              <w:jc w:val="right"/>
            </w:pPr>
            <w:r>
              <w:t>0.8621</w:t>
            </w:r>
          </w:p>
        </w:tc>
        <w:tc>
          <w:tcPr>
            <w:tcW w:type="dxa" w:w="1872"/>
            <w:tcMar>
              <w:top w:w="80" w:type="dxa"/>
              <w:bottom w:w="80" w:type="dxa"/>
              <w:left w:w="120" w:type="dxa"/>
              <w:right w:w="120" w:type="dxa"/>
            </w:tcMar>
            <w:shd w:fill="EDF2F7"/>
          </w:tcPr>
          <w:p>
            <w:pPr>
              <w:jc w:val="right"/>
            </w:pPr>
            <w:r>
              <w:t>0.8620</w:t>
            </w:r>
          </w:p>
        </w:tc>
        <w:tc>
          <w:tcPr>
            <w:tcW w:type="dxa" w:w="1872"/>
            <w:tcMar>
              <w:top w:w="80" w:type="dxa"/>
              <w:bottom w:w="80" w:type="dxa"/>
              <w:left w:w="120" w:type="dxa"/>
              <w:right w:w="120" w:type="dxa"/>
            </w:tcMar>
            <w:shd w:fill="EDF2F7"/>
          </w:tcPr>
          <w:p>
            <w:pPr>
              <w:jc w:val="right"/>
            </w:pPr>
            <w:r>
              <w:t>0.8620 (Acc)</w:t>
            </w:r>
          </w:p>
        </w:tc>
        <w:tc>
          <w:tcPr>
            <w:tcW w:type="dxa" w:w="1872"/>
            <w:tcMar>
              <w:top w:w="80" w:type="dxa"/>
              <w:bottom w:w="80" w:type="dxa"/>
              <w:left w:w="120" w:type="dxa"/>
              <w:right w:w="120" w:type="dxa"/>
            </w:tcMar>
            <w:shd w:fill="EDF2F7"/>
          </w:tcPr>
          <w:p>
            <w:pPr>
              <w:jc w:val="right"/>
            </w:pPr>
            <w:r>
              <w:t>1,000</w:t>
            </w:r>
          </w:p>
        </w:tc>
      </w:tr>
    </w:tbl>
    <w:p>
      <w:pPr>
        <w:spacing w:after="200"/>
      </w:pPr>
    </w:p>
    <w:p>
      <w:pPr>
        <w:spacing w:before="320" w:after="120"/>
      </w:pPr>
      <w:r>
        <w:rPr>
          <w:rFonts w:ascii="Calibri" w:hAnsi="Calibri"/>
          <w:b/>
          <w:color w:val="2B6CB0"/>
          <w:sz w:val="30"/>
        </w:rPr>
        <w:t>6. Key Takeaways &amp; Discussion for Project Review</w:t>
      </w:r>
    </w:p>
    <w:p>
      <w:pPr>
        <w:spacing w:after="80"/>
        <w:ind w:left="288"/>
      </w:pPr>
      <w:r>
        <w:rPr>
          <w:b/>
          <w:color w:val="2F855A"/>
        </w:rPr>
        <w:t xml:space="preserve">✓ Measurable Performance Improvement (+4.50% F1): </w:t>
      </w:r>
      <w:r>
        <w:t>Incorporating relational graph connections yielded an improvement of +4.5% in F1 score over the standalone ModernBERT baseline.</w:t>
      </w:r>
    </w:p>
    <w:p>
      <w:pPr>
        <w:spacing w:after="80"/>
        <w:ind w:left="288"/>
      </w:pPr>
      <w:r>
        <w:rPr>
          <w:b/>
          <w:color w:val="2F855A"/>
        </w:rPr>
        <w:t xml:space="preserve">✓ Balanced Generalization: </w:t>
      </w:r>
      <w:r>
        <w:t>Precision and recall remain well-balanced (0.88 for real news, 0.83 for fake news), proving the model avoids simply memorizing majority class labels.</w:t>
      </w:r>
    </w:p>
    <w:p>
      <w:pPr>
        <w:spacing w:after="80"/>
        <w:ind w:left="288"/>
      </w:pPr>
      <w:r>
        <w:rPr>
          <w:b/>
          <w:color w:val="2F855A"/>
        </w:rPr>
        <w:t xml:space="preserve">✓ Ultra-Fast Training Efficiency: </w:t>
      </w:r>
      <w:r>
        <w:t>By decoupling heavy linguistic fine-tuning from graph propagation, GraphSAGE converged in under 1 second (0.69s) for 100 epochs on GPU hardware.</w:t>
      </w:r>
    </w:p>
    <w:p>
      <w:pPr>
        <w:spacing w:after="80"/>
        <w:ind w:left="288"/>
      </w:pPr>
      <w:r>
        <w:rPr>
          <w:b/>
          <w:color w:val="2F855A"/>
        </w:rPr>
        <w:t xml:space="preserve">✓ Ready for Full-Scale Scaling: </w:t>
      </w:r>
      <w:r>
        <w:t>The pipeline was verified on 10,000 samples and is architected to scale directly to the full 560,000-sample dataset simply by rerunning the preprocessing script.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