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keepNext w:val="true"/>
        <w:spacing w:before="0" w:after="60"/>
        <w:jc w:val="center"/>
        <w:rPr/>
      </w:pPr>
      <w:r>
        <w:rPr>
          <w:rFonts w:ascii="Aptos Display" w:hAnsi="Aptos Display"/>
          <w:b/>
          <w:color w:val="145A7A"/>
          <w:sz w:val="18"/>
        </w:rPr>
        <w:t xml:space="preserve"> </w:t>
      </w:r>
      <w:r>
        <w:rPr>
          <w:rFonts w:ascii="Aptos Display" w:hAnsi="Aptos Display"/>
          <w:b/>
          <w:bCs/>
          <w:color w:val="145A7A"/>
          <w:sz w:val="18"/>
        </w:rPr>
        <w:t>CSE 516: PROBABILISTIC GRAPHICAL MODELS |GROUP G9 |APPLIED AI</w:t>
      </w:r>
    </w:p>
    <w:p>
      <w:pPr>
        <w:pStyle w:val="BodyText"/>
        <w:keepNext w:val="true"/>
        <w:spacing w:before="0" w:after="60"/>
        <w:jc w:val="center"/>
        <w:rPr/>
      </w:pPr>
      <w:r>
        <w:rPr>
          <w:rFonts w:ascii="Aptos Display" w:hAnsi="Aptos Display"/>
          <w:b/>
          <w:color w:val="23364A"/>
          <w:sz w:val="50"/>
        </w:rPr>
        <w:t xml:space="preserve"> </w:t>
      </w:r>
      <w:r>
        <w:rPr>
          <w:rFonts w:ascii="Aptos Display" w:hAnsi="Aptos Display"/>
          <w:b/>
          <w:bCs/>
          <w:color w:val="23364A"/>
          <w:sz w:val="50"/>
        </w:rPr>
        <w:t>CausalLOB</w:t>
      </w:r>
    </w:p>
    <w:p>
      <w:pPr>
        <w:pStyle w:val="BodyText"/>
        <w:keepNext w:val="true"/>
        <w:spacing w:before="0" w:after="60"/>
        <w:jc w:val="center"/>
        <w:rPr/>
      </w:pPr>
      <w:r>
        <w:rPr>
          <w:rFonts w:ascii="Aptos Display" w:hAnsi="Aptos Display"/>
          <w:b/>
          <w:color w:val="23364A"/>
          <w:sz w:val="26"/>
        </w:rPr>
        <w:t xml:space="preserve"> </w:t>
      </w:r>
      <w:r>
        <w:rPr>
          <w:rFonts w:ascii="Aptos Display" w:hAnsi="Aptos Display"/>
          <w:b/>
          <w:color w:val="23364A"/>
          <w:sz w:val="26"/>
        </w:rPr>
        <w:t>Temporal Causal Discovery and Dynamic Bayesian Inference</w:t>
        <w:br/>
        <w:t>for Limit-Order-Book Price Formation</w:t>
      </w:r>
    </w:p>
    <w:p>
      <w:pPr>
        <w:pStyle w:val="BodyText"/>
        <w:keepNext w:val="true"/>
        <w:spacing w:before="0" w:after="60"/>
        <w:jc w:val="center"/>
        <w:rPr/>
      </w:pPr>
      <w:r>
        <w:rPr/>
        <w:t xml:space="preserve">Milestone 3 — Results &amp; Analysis  | </w:t>
      </w:r>
    </w:p>
    <w:p>
      <w:pPr>
        <w:pStyle w:val="AbstractTitle"/>
        <w:keepNext w:val="true"/>
        <w:spacing w:before="220" w:after="0"/>
        <w:jc w:val="left"/>
        <w:rPr/>
      </w:pPr>
      <w:r>
        <w:rPr>
          <w:b/>
          <w:color w:val="145A7A"/>
          <w:sz w:val="22"/>
        </w:rPr>
        <w:t>Abstract</w:t>
      </w:r>
    </w:p>
    <w:p>
      <w:pPr>
        <w:pStyle w:val="Abstract"/>
        <w:rPr/>
      </w:pPr>
      <w:r>
        <w:rPr/>
        <w:t xml:space="preserve">We evaluate the frozen CausalLOB six-state dynamic Bayesian network (DBN) established in Milestones 1–2 on the FI-2010 NoAuction Decimal Precision benchmark. LPCMCI-discovered candidates were screened on Days 6–7; the resulting graph retains 30 own-history and nine cross-variable lag slots and is </w:t>
      </w:r>
      <w:r>
        <w:rPr>
          <w:i/>
          <w:iCs/>
        </w:rPr>
        <w:t>not</w:t>
      </w:r>
      <w:r>
        <w:rPr/>
        <w:t xml:space="preserve"> reopened in M3. The sparse model has lower retrospective pooled state RMSE than an equal-history AR(5) baseline (0.586137 versus 0.588347), but a dense VAR(5) is slightly better (0.585171). On matched complete-evidence rows, a DeepLOB-style predictive comparator has lower log loss at all five outcome horizons, although the DBN has better balanced accuracy and Brier score at horizon 10. The training class-prior baseline beats the DBN on all 12 pooled consecutive-gap comparisons. We report descriptive three-day variability, calibrated-probability metrics, graph and missing-evidence ablations, and a clearly separated synthetic exact-versus-Monte-Carlo numerical check. The original dataset checkpoints were not supplied with the uploaded notebook: FI-2010 results in this report are </w:t>
      </w:r>
      <w:r>
        <w:rPr>
          <w:i/>
          <w:iCs/>
        </w:rPr>
        <w:t>recovered from earlier executed outputs</w:t>
      </w:r>
      <w:r>
        <w:rPr/>
        <w:t>, not freshly rerun or independently confirmed; Days 8–10 were previously inspected. The contribution is a transparent probabilistic evaluation, not identified market causality or predictive superiority.</w:t>
      </w:r>
      <w:bookmarkStart w:id="0" w:name="research-question-and-continuity"/>
    </w:p>
    <w:p>
      <w:pPr>
        <w:pStyle w:val="Heading1"/>
        <w:rPr/>
      </w:pPr>
      <w:r>
        <w:rPr/>
        <w:t>Research question</w:t>
      </w:r>
    </w:p>
    <w:p>
      <w:pPr>
        <w:pStyle w:val="FirstParagraph"/>
        <w:rPr/>
      </w:pPr>
      <w:r>
        <w:rPr>
          <w:b/>
          <w:bCs/>
        </w:rPr>
        <w:t>Research question (unchanged since M1):</w:t>
      </w:r>
      <w:r>
        <w:rPr/>
        <w:t xml:space="preserve"> Which lagged limit-order-book (LOB) states are stable probabilistic antecedents of short-horizon midpoint-price formation, and can a DBN express these dependencies for calibrated probabilistic inference? M1 fixed a single application domain (market microstructure), the FI-2010 dataset, six interpretable state nodes, a maximum of five representation-step lags, a structure-learning SOTA anchor, and the Representation–Learning–Inference plan . M2 reconstructed 394,337 observations, enforced 50 day–security leakage boundaries, froze the 39-slot temporal graph, fitted Gaussian conditional distributions and five ordered-probit heads, and demonstrated exact partial-observation inference .</w:t>
      </w:r>
    </w:p>
    <w:p>
      <w:pPr>
        <w:pStyle w:val="BodyText"/>
        <w:rPr/>
      </w:pPr>
      <w:r>
        <w:rPr>
          <w:b/>
          <w:bCs/>
        </w:rPr>
        <w:t>M3 questions.</w:t>
      </w:r>
      <w:r>
        <w:rPr/>
        <w:t xml:space="preserve"> </w:t>
      </w:r>
      <w:r>
        <w:rPr>
          <w:i/>
          <w:iCs/>
        </w:rPr>
        <w:t>H1</w:t>
      </w:r>
      <w:r>
        <w:rPr/>
        <w:t xml:space="preserve">: Do the selected lagged cross-variable edges improve reconstruction compared with own-history AR(5)? </w:t>
      </w:r>
      <w:r>
        <w:rPr>
          <w:i/>
          <w:iCs/>
        </w:rPr>
        <w:t>H2</w:t>
      </w:r>
      <w:r>
        <w:rPr/>
        <w:t xml:space="preserve">: Do source identities outperform target/lag-matched random alternatives? </w:t>
      </w:r>
      <w:r>
        <w:rPr>
          <w:i/>
          <w:iCs/>
        </w:rPr>
        <w:t>H3</w:t>
      </w:r>
      <w:r>
        <w:rPr/>
        <w:t>: Do calibrated outcomes and missing-evidence inference offer practical advantages, including under consecutive gaps? The answers below include falsifications. FI-2010 is observational; neither LPCMCI links nor post-hoc predictive gains establish intervention-level causal effects.</w:t>
      </w:r>
      <w:bookmarkEnd w:id="0"/>
    </w:p>
    <w:p>
      <w:pPr>
        <w:pStyle w:val="Heading1"/>
        <w:rPr/>
      </w:pPr>
      <w:r>
        <w:rPr/>
        <w:t>Representation, learning, and inference</w:t>
      </w:r>
    </w:p>
    <w:p>
      <w:pPr>
        <w:pStyle w:val="FirstParagraph"/>
        <w:rPr/>
      </w:pPr>
      <w:r>
        <w:rPr>
          <w:b/>
          <w:bCs/>
        </w:rPr>
        <w:t>State.</w:t>
      </w:r>
      <w:r>
        <w:rPr/>
        <w:t xml:space="preserve"> At representation step , the six-vector  contains log relative spread, log total depth over levels 1–5, L1 bid–ask imbalance, incremental L2–L5 imbalance, depth-normalized quote-change OFI </w:t>
      </w:r>
      <w:r>
        <w:rPr>
          <w:i/>
          <w:iCs/>
        </w:rPr>
        <w:t>proxy</w:t>
      </w:r>
      <w:r>
        <w:rPr/>
        <w:t xml:space="preserve">, and one-step log midpoint return. Volatility is a regime sensitivity, not a seventh primary node. Steps and publisher horizons are </w:t>
      </w:r>
      <w:r>
        <w:rPr>
          <w:i/>
          <w:iCs/>
        </w:rPr>
        <w:t>not</w:t>
      </w:r>
      <w:r>
        <w:rPr/>
        <w:t xml:space="preserve"> elapsed seconds. The quote-change proxy is </w:t>
      </w:r>
      <w:r>
        <w:rPr>
          <w:i/>
          <w:iCs/>
        </w:rPr>
        <w:t>not</w:t>
      </w:r>
      <w:r>
        <w:rPr/>
        <w:t xml:space="preserve"> event-level order-flow imbalance.</w:t>
      </w:r>
    </w:p>
    <w:p>
      <w:pPr>
        <w:pStyle w:val="BodyText"/>
        <w:rPr/>
      </w:pPr>
      <w:r>
        <w:rPr>
          <w:b/>
          <w:bCs/>
        </w:rPr>
        <w:t>Graph.</w:t>
      </w:r>
      <w:r>
        <w:rPr/>
        <w:t xml:space="preserve"> Thirty mandatory own-history lags (six nodes  lags 1–5) plus nine cross-lag slots from five retained source–target families: L1 imbalance  return (1); L2–L5 imbalance  return (1,5); L2–L5 imbalance  OFI proxy (1); depth  spread (1); OFI proxy  return (2–5). Arrows indicate conditional predictive ordering, not unconfounded causal effects. The model is</w:t>
      </w:r>
    </w:p>
    <w:p>
      <w:pPr>
        <w:pStyle w:val="BodyText"/>
        <w:rPr/>
      </w:pPr>
      <w:r>
        <w:rPr/>
      </w:r>
    </w:p>
    <w:p>
      <w:pPr>
        <w:pStyle w:val="FirstParagraph"/>
        <w:rPr/>
      </w:pPr>
      <w:r>
        <w:rPr/>
        <w:t>The primary  gives the explicitly factorized Gaussian DBN</w:t>
      </w:r>
    </w:p>
    <w:p>
      <w:pPr>
        <w:pStyle w:val="BodyText"/>
        <w:rPr/>
      </w:pPr>
      <w:r>
        <w:rPr/>
      </w:r>
    </w:p>
    <w:p>
      <w:pPr>
        <w:pStyle w:val="FirstParagraph"/>
        <w:rPr/>
      </w:pPr>
      <w:r>
        <w:rPr/>
        <w:t>LPCMCI ran only on Days 1–5, with cross-family checks on Days 6–7; the graph was frozen before Ridge () fitted 39 slopes, six intercepts and six innovation variances using Days 1–7. Five ordered-probit outcome heads were also fitted on those days for  raw publisher messages .</w:t>
      </w:r>
    </w:p>
    <w:p>
      <w:pPr>
        <w:pStyle w:val="BodyText"/>
        <w:rPr/>
      </w:pPr>
      <w:r>
        <w:rPr>
          <w:b/>
          <w:bCs/>
        </w:rPr>
        <w:t>Posterior query.</w:t>
      </w:r>
      <w:r>
        <w:rPr/>
        <w:t xml:space="preserve"> For missing current components , observed components , and the five-step observed lag history , Gaussian conditioning is exact:</w:t>
      </w:r>
    </w:p>
    <w:p>
      <w:pPr>
        <w:pStyle w:val="BodyText"/>
        <w:rPr/>
      </w:pPr>
      <w:r>
        <w:rPr/>
      </w:r>
    </w:p>
    <w:p>
      <w:pPr>
        <w:pStyle w:val="FirstParagraph"/>
        <w:rPr/>
      </w:pPr>
      <w:bookmarkStart w:id="1" w:name="representation-learning-and-inference"/>
      <w:r>
        <w:rPr/>
        <w:t>Here . For diagonal , contemporaneous measured states do not update an unobserved state at that same step; improvements come mainly through history. A train-only shrinkage/correlated- alternative probes sensitivity but changes the contemporaneous independence assumptions. Integrating each ordered-probit head over the state posterior yields normalized  for Down/Stationary/Up. Exact conditioning is preferred at six dimensions; sampling is a numerical comparator rather than a necessary approximation.</w:t>
      </w:r>
      <w:bookmarkEnd w:id="1"/>
    </w:p>
    <w:p>
      <w:pPr>
        <w:pStyle w:val="Heading1"/>
        <w:rPr/>
      </w:pPr>
      <w:bookmarkStart w:id="2" w:name="experimental-protocol-baselines-and-kpis"/>
      <w:r>
        <w:rPr/>
        <w:t>Experimental protocol, baselines, and KPIs</w:t>
      </w:r>
    </w:p>
    <w:p>
      <w:pPr>
        <w:pStyle w:val="TableCaption"/>
        <w:rPr/>
      </w:pPr>
      <w:r>
        <w:rPr/>
        <w:t>Frozen experimental controls, retained from M1–M2.</w:t>
      </w:r>
    </w:p>
    <w:tbl>
      <w:tblPr>
        <w:tblStyle w:val="Table"/>
        <w:tblW w:w="125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520"/>
        <w:gridCol w:w="0"/>
      </w:tblGrid>
      <w:tr>
        <w:trPr>
          <w:tblHeader w:val="true"/>
        </w:trPr>
        <w:tc>
          <w:tcPr>
            <w:tcW w:w="2520" w:type="dxa"/>
            <w:tcBorders/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Dataset</w:t>
            </w:r>
          </w:p>
        </w:tc>
        <w:tc>
          <w:tcPr>
            <w:tcW w:w="0" w:type="dxa"/>
            <w:tcBorders/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FI-2010 NoAuction Decimal Precision; 394,337 representations / ten days / 50 boundary-separated day–anonymous-security sequences.</w:t>
            </w:r>
          </w:p>
        </w:tc>
      </w:tr>
      <w:tr>
        <w:trPr/>
        <w:tc>
          <w:tcPr>
            <w:tcW w:w="252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Discovery/validation</w:t>
            </w:r>
          </w:p>
        </w:tc>
        <w:tc>
          <w:tcPr>
            <w:tcW w:w="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Days 1–5 LPCMCI; Days 6–7 family validation; frozen graph afterwards.</w:t>
            </w:r>
          </w:p>
        </w:tc>
      </w:tr>
      <w:tr>
        <w:trPr/>
        <w:tc>
          <w:tcPr>
            <w:tcW w:w="252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Fit/assessment</w:t>
            </w:r>
          </w:p>
        </w:tc>
        <w:tc>
          <w:tcPr>
            <w:tcW w:w="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 xml:space="preserve">Days 1–7 estimation; 139,212 eligible transition rows on the </w:t>
            </w: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en-US" w:eastAsia="en-US" w:bidi="ar-SA"/>
              </w:rPr>
              <w:t>retrospectively inspected</w:t>
            </w: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 xml:space="preserve"> Days 8–10.</w:t>
            </w:r>
          </w:p>
        </w:tc>
      </w:tr>
      <w:tr>
        <w:trPr/>
        <w:tc>
          <w:tcPr>
            <w:tcW w:w="252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Temporal leakage</w:t>
            </w:r>
          </w:p>
        </w:tc>
        <w:tc>
          <w:tcPr>
            <w:tcW w:w="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 xml:space="preserve">No lag/window crosses a day–security boundary. The 50 sequences are </w:t>
            </w:r>
            <w:r>
              <w:rPr>
                <w:rFonts w:eastAsia="Cambria" w:cs=""/>
                <w:i/>
                <w:iCs/>
                <w:kern w:val="0"/>
                <w:sz w:val="17"/>
                <w:szCs w:val="24"/>
                <w:lang w:val="en-US" w:eastAsia="en-US" w:bidi="ar-SA"/>
              </w:rPr>
              <w:t>not</w:t>
            </w: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 xml:space="preserve"> independent inferential replications.</w:t>
            </w:r>
          </w:p>
        </w:tc>
      </w:tr>
      <w:tr>
        <w:trPr/>
        <w:tc>
          <w:tcPr>
            <w:tcW w:w="252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Outcomes</w:t>
            </w:r>
          </w:p>
        </w:tc>
        <w:tc>
          <w:tcPr>
            <w:tcW w:w="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Publisher three-class labels, horizons 10/20/30/50/100 raw messages; original label-generation recipe not independently established.</w:t>
            </w:r>
          </w:p>
        </w:tc>
      </w:tr>
      <w:tr>
        <w:trPr/>
        <w:tc>
          <w:tcPr>
            <w:tcW w:w="252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Inference unit</w:t>
            </w:r>
          </w:p>
        </w:tc>
        <w:tc>
          <w:tcPr>
            <w:tcW w:w="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Trading day, not individual overlapping windows; only three retrospective evaluation-day blocks.</w:t>
            </w:r>
            <w:bookmarkStart w:id="3" w:name="tab%253Acontrols"/>
            <w:bookmarkEnd w:id="3"/>
          </w:p>
        </w:tc>
      </w:tr>
    </w:tbl>
    <w:p>
      <w:pPr>
        <w:pStyle w:val="BodyText"/>
        <w:rPr/>
      </w:pPr>
      <w:r>
        <w:rPr>
          <w:b/>
          <w:bCs/>
        </w:rPr>
        <w:t>Comparators.</w:t>
      </w:r>
      <w:r>
        <w:rPr/>
        <w:t xml:space="preserve"> Equal-history AR(5) Ridge isolates extra cross-variable structure. Dense VAR(5) estimates a broader temporal parent set on the same state, training rows and lags. Static (no history) separates persistence from network-edge value. One hundred matched alternative graphs preserve cross-parent counts by target and lag while changing source identities. A train-frequency class prior tests probabilistic forecasting without state information. A </w:t>
      </w:r>
      <w:r>
        <w:rPr>
          <w:i/>
          <w:iCs/>
        </w:rPr>
        <w:t>DeepLOB-style</w:t>
      </w:r>
      <w:r>
        <w:rPr/>
        <w:t xml:space="preserve"> model uses 10040 raw LOB windows and different capacity and input history; it is useful predictive context but </w:t>
      </w:r>
      <w:r>
        <w:rPr>
          <w:i/>
          <w:iCs/>
        </w:rPr>
        <w:t>not</w:t>
      </w:r>
      <w:r>
        <w:rPr/>
        <w:t xml:space="preserve"> a like-for-like graph-only ablation.</w:t>
      </w:r>
    </w:p>
    <w:p>
      <w:pPr>
        <w:pStyle w:val="BodyText"/>
        <w:rPr/>
      </w:pPr>
      <w:r>
        <w:rPr>
          <w:b/>
          <w:bCs/>
        </w:rPr>
        <w:t>Preselected KPIs.</w:t>
      </w:r>
      <w:r>
        <w:rPr/>
        <w:t xml:space="preserve"> Representation: six nodes, 39 slots, five retained cross-variable families, structural sparsity. Learning: standardized state/return RMSE and joint/return NLL. Inference: missing-state RMSE, joint NLL, marginal 90% coverage error, numerical exact-vs-sampling error/runtime. Forecasting: three-class log loss ; multiclass Brier ; balanced accuracy; confidence expected calibration error (ECE). Smaller values are better unless indicated. FI-2010 has </w:t>
      </w:r>
      <w:r>
        <w:rPr>
          <w:i/>
          <w:iCs/>
        </w:rPr>
        <w:t>no verified true causal graph</w:t>
      </w:r>
      <w:r>
        <w:rPr/>
        <w:t>, so empirical SHD/SID and a sample-size-vs-SHD curve would be fabricated; the separate known-DGP diagnostic is marked synthetic.</w:t>
      </w:r>
      <w:bookmarkEnd w:id="2"/>
    </w:p>
    <w:p>
      <w:pPr>
        <w:pStyle w:val="Heading1"/>
        <w:rPr/>
      </w:pPr>
      <w:bookmarkStart w:id="4" w:name="X3d98aedd5026570a9db5ebe9d3174405edae4bb"/>
      <w:r>
        <w:rPr/>
        <w:t>Results: matched baselines and falsifications</w:t>
      </w:r>
    </w:p>
    <w:p>
      <w:pPr>
        <w:pStyle w:val="Heading2"/>
        <w:rPr/>
      </w:pPr>
      <w:bookmarkStart w:id="5" w:name="X9e9ca0cec724306d43ecdc7acb2eb77242d2475"/>
      <w:r>
        <w:rPr/>
        <w:t>Temporal transition learning and structural ablation</w:t>
      </w:r>
    </w:p>
    <w:p>
      <w:pPr>
        <w:pStyle w:val="TableCaption"/>
        <w:rPr/>
      </w:pPr>
      <w:r>
        <w:rPr/>
        <w:t>Archived pooled standardized transitions (lower is better). The last row is the median of 100 matched alternative graphs, not a trained new baseline.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Model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State RMSE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Joint NLL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Return RMSE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Return NLL</w:t>
            </w:r>
          </w:p>
        </w:tc>
      </w:tr>
      <w:tr>
        <w:trPr/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Sparse-39 DBN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0.586137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3.712316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0.824720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1.251983</w:t>
            </w:r>
          </w:p>
        </w:tc>
      </w:tr>
      <w:tr>
        <w:trPr/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AR(5)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0.588347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3.725577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0.833930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1.265020</w:t>
            </w:r>
          </w:p>
        </w:tc>
      </w:tr>
      <w:tr>
        <w:trPr/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Dense VAR(5)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en-US" w:eastAsia="en-US" w:bidi="ar-SA"/>
              </w:rPr>
              <w:t>0.585171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en-US" w:eastAsia="en-US" w:bidi="ar-SA"/>
              </w:rPr>
              <w:t>3.705322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en-US" w:eastAsia="en-US" w:bidi="ar-SA"/>
              </w:rPr>
              <w:t>0.822980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en-US" w:eastAsia="en-US" w:bidi="ar-SA"/>
              </w:rPr>
              <w:t>1.249820</w:t>
            </w:r>
          </w:p>
        </w:tc>
      </w:tr>
      <w:tr>
        <w:trPr/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100 matched graphs (med.)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0.586529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3.714656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0.826415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1.254092</w:t>
            </w:r>
            <w:bookmarkStart w:id="6" w:name="tab%253Atransition"/>
            <w:bookmarkEnd w:id="6"/>
          </w:p>
        </w:tc>
      </w:tr>
    </w:tbl>
    <w:p>
      <w:pPr>
        <w:pStyle w:val="CaptionedFigure"/>
        <w:spacing w:before="0" w:after="20"/>
        <w:jc w:val="center"/>
        <w:rPr/>
      </w:pPr>
      <w:r>
        <w:rPr/>
        <w:drawing>
          <wp:inline distT="0" distB="0" distL="0" distR="0">
            <wp:extent cx="5334000" cy="2024380"/>
            <wp:effectExtent l="0" t="0" r="0" b="0"/>
            <wp:docPr id="1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Archived, pooled FI-2010 transition reconstruction. Deep red/negative evidence is not omitted: dense VAR(5) has the lowest displayed error.</w:t>
      </w:r>
    </w:p>
    <w:p>
      <w:pPr>
        <w:pStyle w:val="BodyText"/>
        <w:rPr/>
      </w:pPr>
      <w:r>
        <w:rPr/>
        <w:t xml:space="preserve">Sparse-39 reduces pooled state RMSE by  against AR(5) at the rounded tabulated precision, and return RMSE by . The original higher-precision outputs report  and , respectively; these are rounding, not contradictory experiments. Yet dense VAR(5) improves on both and has smaller joint NLL. In the matched random-graph challenge, Sparse-39 beats 85/100 source-identity alternatives for state RMSE, 90/100 for joint NLL, 93/100 for return RMSE, and 95/100 for return NLL. This is descriptive graph-specific evidence, </w:t>
      </w:r>
      <w:r>
        <w:rPr>
          <w:i/>
          <w:iCs/>
        </w:rPr>
        <w:t>not</w:t>
      </w:r>
      <w:r>
        <w:rPr/>
        <w:t xml:space="preserve"> a selection-adjusted -value; the alternatives are fitted on the same observational system after graph discovery.</w:t>
      </w:r>
    </w:p>
    <w:p>
      <w:pPr>
        <w:pStyle w:val="BodyText"/>
        <w:rPr/>
      </w:pPr>
      <w:r>
        <w:rPr>
          <w:b/>
          <w:bCs/>
        </w:rPr>
        <w:t>Interpretation.</w:t>
      </w:r>
      <w:r>
        <w:rPr/>
        <w:t xml:space="preserve"> Adding a few cross-lags contributes small predictive information above the strong own-history persistence, but the selected sparse structure is not an error-minimizing substitute for all cross-lags. The graph’s value is inspectable conditional structure plus calibrated state-space queries, not the broadest possible fit. Figure </w:t>
      </w:r>
      <w:hyperlink w:anchor="fig%253Atransition">
        <w:r>
          <w:rPr>
            <w:rStyle w:val="Hyperlink"/>
          </w:rPr>
          <w:t>1</w:t>
        </w:r>
      </w:hyperlink>
      <w:r>
        <w:rPr/>
        <w:t xml:space="preserve"> does not establish economic benefit or true causal direction.</w:t>
      </w:r>
      <w:bookmarkEnd w:id="5"/>
    </w:p>
    <w:p>
      <w:pPr>
        <w:pStyle w:val="Heading2"/>
        <w:rPr/>
      </w:pPr>
      <w:bookmarkStart w:id="7" w:name="matched-three-class-forecasts"/>
      <w:r>
        <w:rPr/>
        <w:t>Matched three-class forecasts</w:t>
      </w:r>
    </w:p>
    <w:p>
      <w:pPr>
        <w:pStyle w:val="TableCaption"/>
        <w:rPr/>
      </w:pPr>
      <w:r>
        <w:rPr/>
        <w:t>Identical retrospective forecast rows for each model at a given publisher horizon. LL is multiclass log loss; lower is better.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20"/>
        <w:gridCol w:w="1319"/>
        <w:gridCol w:w="1321"/>
        <w:gridCol w:w="1321"/>
        <w:gridCol w:w="1318"/>
        <w:gridCol w:w="1320"/>
      </w:tblGrid>
      <w:tr>
        <w:trPr>
          <w:tblHeader w:val="true"/>
        </w:trPr>
        <w:tc>
          <w:tcPr>
            <w:tcW w:w="1320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Matched</w:t>
            </w:r>
          </w:p>
        </w:tc>
        <w:tc>
          <w:tcPr>
            <w:tcW w:w="1321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DeepLOB LL</w:t>
            </w:r>
          </w:p>
        </w:tc>
        <w:tc>
          <w:tcPr>
            <w:tcW w:w="1321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DBN LL</w:t>
            </w:r>
          </w:p>
        </w:tc>
        <w:tc>
          <w:tcPr>
            <w:tcW w:w="1318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Prior LL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DBN  DeepLOB</w:t>
            </w:r>
          </w:p>
        </w:tc>
      </w:tr>
      <w:tr>
        <w:trPr/>
        <w:tc>
          <w:tcPr>
            <w:tcW w:w="132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10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137,952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en-US" w:eastAsia="en-US" w:bidi="ar-SA"/>
              </w:rPr>
              <w:t>0.4546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0.4984</w:t>
            </w:r>
          </w:p>
        </w:tc>
        <w:tc>
          <w:tcPr>
            <w:tcW w:w="1318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0.8292</w:t>
            </w:r>
          </w:p>
        </w:tc>
        <w:tc>
          <w:tcPr>
            <w:tcW w:w="132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+0.0438</w:t>
            </w:r>
          </w:p>
        </w:tc>
      </w:tr>
      <w:tr>
        <w:trPr/>
        <w:tc>
          <w:tcPr>
            <w:tcW w:w="132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20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137,802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en-US" w:eastAsia="en-US" w:bidi="ar-SA"/>
              </w:rPr>
              <w:t>0.6459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0.7142</w:t>
            </w:r>
          </w:p>
        </w:tc>
        <w:tc>
          <w:tcPr>
            <w:tcW w:w="1318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0.9578</w:t>
            </w:r>
          </w:p>
        </w:tc>
        <w:tc>
          <w:tcPr>
            <w:tcW w:w="132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+0.0683</w:t>
            </w:r>
          </w:p>
        </w:tc>
      </w:tr>
      <w:tr>
        <w:trPr/>
        <w:tc>
          <w:tcPr>
            <w:tcW w:w="132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30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137,652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en-US" w:eastAsia="en-US" w:bidi="ar-SA"/>
              </w:rPr>
              <w:t>0.6015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0.9368</w:t>
            </w:r>
          </w:p>
        </w:tc>
        <w:tc>
          <w:tcPr>
            <w:tcW w:w="1318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1.0302</w:t>
            </w:r>
          </w:p>
        </w:tc>
        <w:tc>
          <w:tcPr>
            <w:tcW w:w="132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+0.3353</w:t>
            </w:r>
          </w:p>
        </w:tc>
      </w:tr>
      <w:tr>
        <w:trPr/>
        <w:tc>
          <w:tcPr>
            <w:tcW w:w="132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50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137,352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en-US" w:eastAsia="en-US" w:bidi="ar-SA"/>
              </w:rPr>
              <w:t>0.5606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1.0711</w:t>
            </w:r>
          </w:p>
        </w:tc>
        <w:tc>
          <w:tcPr>
            <w:tcW w:w="1318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1.1096</w:t>
            </w:r>
          </w:p>
        </w:tc>
        <w:tc>
          <w:tcPr>
            <w:tcW w:w="132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+0.5105</w:t>
            </w:r>
          </w:p>
        </w:tc>
      </w:tr>
      <w:tr>
        <w:trPr/>
        <w:tc>
          <w:tcPr>
            <w:tcW w:w="132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100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136,602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en-US" w:eastAsia="en-US" w:bidi="ar-SA"/>
              </w:rPr>
              <w:t>0.5695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1.1477</w:t>
            </w:r>
          </w:p>
        </w:tc>
        <w:tc>
          <w:tcPr>
            <w:tcW w:w="1318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1.1614</w:t>
            </w:r>
          </w:p>
        </w:tc>
        <w:tc>
          <w:tcPr>
            <w:tcW w:w="132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+0.5782</w:t>
            </w:r>
            <w:bookmarkStart w:id="8" w:name="tab%253Amatched"/>
            <w:bookmarkEnd w:id="8"/>
          </w:p>
        </w:tc>
      </w:tr>
    </w:tbl>
    <w:p>
      <w:pPr>
        <w:pStyle w:val="CaptionedFigure"/>
        <w:spacing w:before="0" w:after="20"/>
        <w:jc w:val="center"/>
        <w:rPr/>
      </w:pPr>
      <w:r>
        <w:rPr/>
        <w:drawing>
          <wp:inline distT="0" distB="0" distL="0" distR="0">
            <wp:extent cx="5334000" cy="212090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Matched retrospective log loss at the five publisher horizons; DeepLOB wins this particular probabilistic forecasting KPI at all five.</w:t>
      </w:r>
    </w:p>
    <w:p>
      <w:pPr>
        <w:pStyle w:val="BodyText"/>
        <w:rPr/>
      </w:pPr>
      <w:r>
        <w:rPr/>
        <w:t>DeepLOB-style probabilities have smaller log loss at all horizons (Table </w:t>
      </w:r>
      <w:hyperlink w:anchor="tab%253Amatched">
        <w:r>
          <w:rPr>
            <w:rStyle w:val="Hyperlink"/>
          </w:rPr>
          <w:t>3</w:t>
        </w:r>
      </w:hyperlink>
      <w:r>
        <w:rPr/>
        <w:t>), falsifying a generic DBN forecasting-superiority claim. At , however, DBN balanced accuracy is  versus  for DeepLOB, and Brier is  versus  despite DeepLOB’s better log loss ( versus ). This discrepancy is substantive: different proper scores respond differently to rare overconfident mistakes, while balanced accuracy reflects a decision rule. DeepLOB uses a richer input window and different model capacity, so the result cannot isolate the causal discovery algorithm or prove edge invalidity. The prior remains a strong reference as horizons increase.</w:t>
      </w:r>
      <w:bookmarkEnd w:id="7"/>
    </w:p>
    <w:p>
      <w:pPr>
        <w:pStyle w:val="Heading2"/>
        <w:rPr/>
      </w:pPr>
      <w:bookmarkStart w:id="9" w:name="exact-one-step-missing-state-inference"/>
      <w:r>
        <w:rPr/>
        <w:t>Exact one-step missing-state inference</w:t>
      </w:r>
    </w:p>
    <w:p>
      <w:pPr>
        <w:pStyle w:val="TableCaption"/>
        <w:rPr/>
      </w:pPr>
      <w:r>
        <w:rPr/>
        <w:t>Archived masked-state inference ablation. A positive gain favors Sparse-39 over the equal-history AR(5); all values are small absolute gains, not percentages.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Missing current evidence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RMSE gain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Joint NLL gain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coverage gain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L1 imbalance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0.000000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0.000000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0.000000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OFI proxy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+0.000332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+0.000661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Both imbalances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0.000000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0.000000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0.000000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Liquidity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+0.000672</w:t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Return + OFI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en-US" w:eastAsia="en-US" w:bidi="ar-SA"/>
              </w:rPr>
              <w:t>+0.004752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en-US" w:eastAsia="en-US" w:bidi="ar-SA"/>
              </w:rPr>
              <w:t>+0.013698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8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History only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+0.002209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+0.013261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</w:r>
            <w:bookmarkStart w:id="10" w:name="tab%253Amasks"/>
            <w:bookmarkStart w:id="11" w:name="tab%253Amasks"/>
            <w:bookmarkEnd w:id="11"/>
          </w:p>
        </w:tc>
      </w:tr>
    </w:tbl>
    <w:p>
      <w:pPr>
        <w:pStyle w:val="CaptionedFigure"/>
        <w:spacing w:before="0" w:after="20"/>
        <w:jc w:val="center"/>
        <w:rPr/>
      </w:pPr>
      <w:r>
        <w:rPr/>
        <w:drawing>
          <wp:inline distT="0" distB="0" distL="0" distR="0">
            <wp:extent cx="5334000" cy="195389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The partial-observation advantage is mask-specific. In the liquidity mask, the sparse graph does not win.</w:t>
      </w:r>
    </w:p>
    <w:p>
      <w:pPr>
        <w:pStyle w:val="BodyText"/>
        <w:rPr/>
      </w:pPr>
      <w:r>
        <w:rPr/>
        <w:t xml:space="preserve">The focal Return+OFI mask gains 0.004752 state RMSE and 0.013698 joint NLL, but has </w:t>
      </w:r>
      <w:r>
        <w:rPr>
          <w:i/>
          <w:iCs/>
        </w:rPr>
        <w:t>worse</w:t>
      </w:r>
      <w:r>
        <w:rPr/>
        <w:t xml:space="preserve"> absolute marginal 90% coverage error by 0.005984. Likewise, the liquidity mask modestly favors AR(5). The source Step 8 static/temporal decomposition records a 0.360443 history-over-static RMSE gain in the history-only setting, compared with just 0.002209 due to extra sparse cross-lags. Thus temporal persistence explains much more than the identity of the selected cross edges. The marginal interval metric cannot be claimed to measure simultaneous joint credible-set coverage. A correlated- sensitivity can affect these values, but replaces the primary diagonal- conditional-independence assumption; it is not silently substituted into the main results.</w:t>
      </w:r>
      <w:bookmarkEnd w:id="9"/>
    </w:p>
    <w:p>
      <w:pPr>
        <w:pStyle w:val="Heading2"/>
        <w:rPr/>
      </w:pPr>
      <w:bookmarkStart w:id="12" w:name="Xc8d10c64fc6e0f68ba37cc9414f948c7ca698c5"/>
      <w:r>
        <w:rPr/>
        <w:t>Consecutive observation gaps: adverse robustness result</w:t>
      </w:r>
    </w:p>
    <w:p>
      <w:pPr>
        <w:pStyle w:val="FirstParagraph"/>
        <w:rPr/>
      </w:pPr>
      <w:r>
        <w:rPr/>
        <w:t xml:space="preserve">The source Step 9 uses 697 spaced retrospective endpoints (Day 8: 277; Day 9: 260; Day 10: 160), synthetic gaps of 1, 5 or 20 </w:t>
      </w:r>
      <w:r>
        <w:rPr>
          <w:i/>
          <w:iCs/>
        </w:rPr>
        <w:t>representation steps</w:t>
      </w:r>
      <w:r>
        <w:rPr/>
        <w:t xml:space="preserve">, two evidence masks, and horizons 10/20. In all 12 pooled mask–gap–horizon cells, the train-frequency prior’s log loss is </w:t>
      </w:r>
      <w:r>
        <w:rPr>
          <w:i/>
          <w:iCs/>
        </w:rPr>
        <w:t>lower</w:t>
      </w:r>
      <w:r>
        <w:rPr/>
        <w:t xml:space="preserve"> than the DBN’s. The zero-history and partially masked cases use exactly the specified endpoints. They are not naturally observed exchange-feed outages.</w:t>
      </w:r>
    </w:p>
    <w:p>
      <w:pPr>
        <w:pStyle w:val="CaptionedFigure"/>
        <w:spacing w:before="0" w:after="20"/>
        <w:jc w:val="center"/>
        <w:rPr/>
      </w:pPr>
      <w:r>
        <w:rPr/>
        <w:drawing>
          <wp:inline distT="0" distB="0" distL="0" distR="0">
            <wp:extent cx="5334000" cy="199199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Negative prior-minus-DBN log-loss improvements indicate DBN failures across all 12 tested consecutive-gap conditions.</w:t>
      </w:r>
    </w:p>
    <w:p>
      <w:pPr>
        <w:pStyle w:val="BodyText"/>
        <w:rPr/>
      </w:pPr>
      <w:r>
        <w:rPr>
          <w:b/>
          <w:bCs/>
        </w:rPr>
        <w:t>Interpretation.</w:t>
      </w:r>
      <w:r>
        <w:rPr/>
        <w:t xml:space="preserve"> A slightly better sparse graph than AR(5) does not imply a useful calibrated outcome forecast when evidence stops arriving: recursive state uncertainty and misspecification matter. This falsifies the strongest robustness interpretation of H3. The safe deployment implication is to maintain a fallback prior and detect missing-feed regimes; this study does </w:t>
      </w:r>
      <w:r>
        <w:rPr>
          <w:i/>
          <w:iCs/>
        </w:rPr>
        <w:t>not</w:t>
      </w:r>
      <w:r>
        <w:rPr/>
        <w:t xml:space="preserve"> justify a trading system.</w:t>
      </w:r>
      <w:bookmarkEnd w:id="4"/>
      <w:bookmarkEnd w:id="12"/>
    </w:p>
    <w:p>
      <w:pPr>
        <w:pStyle w:val="Heading1"/>
        <w:rPr/>
      </w:pPr>
      <w:bookmarkStart w:id="13" w:name="X51b06a47f7cb801124c287441b3f8e4ef26de65"/>
      <w:r>
        <w:rPr/>
        <w:t>Statistical variation, calibration, and broader robustness</w:t>
      </w:r>
    </w:p>
    <w:p>
      <w:pPr>
        <w:pStyle w:val="Heading2"/>
        <w:rPr/>
      </w:pPr>
      <w:bookmarkStart w:id="14" w:name="Xd0717b478606adbede24936ca698080716583c3"/>
      <w:r>
        <w:rPr/>
        <w:t>Day-block variability and statistical credibility</w:t>
      </w:r>
    </w:p>
    <w:p>
      <w:pPr>
        <w:pStyle w:val="TableCaption"/>
        <w:rPr/>
      </w:pPr>
      <w:r>
        <w:rPr/>
        <w:t xml:space="preserve">DeepLOB log-loss advantage over DBN, by three </w:t>
      </w:r>
      <w:r>
        <w:rPr>
          <w:i/>
          <w:iCs/>
        </w:rPr>
        <w:t>historically inspected</w:t>
      </w:r>
      <w:r>
        <w:rPr/>
        <w:t xml:space="preserve"> days. Mean  sample SD is </w:t>
      </w:r>
      <w:r>
        <w:rPr>
          <w:b/>
          <w:bCs/>
        </w:rPr>
        <w:t>descriptive only</w:t>
      </w:r>
      <w:r>
        <w:rPr/>
        <w:t>; SD is reconstructed algebraically from rounded day minimum/maximum/mean in the executed source.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Days won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Daily mean  SD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Min day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Max day</w:t>
            </w:r>
          </w:p>
        </w:tc>
      </w:tr>
      <w:tr>
        <w:trPr/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10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3/3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0.0146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0.0571</w:t>
            </w:r>
          </w:p>
        </w:tc>
      </w:tr>
      <w:tr>
        <w:trPr/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20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3/3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0.0362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0.0879</w:t>
            </w:r>
          </w:p>
        </w:tc>
      </w:tr>
      <w:tr>
        <w:trPr/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30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3/3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0.2938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0.3556</w:t>
            </w:r>
          </w:p>
        </w:tc>
      </w:tr>
      <w:tr>
        <w:trPr/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50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3/3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0.4602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0.5434</w:t>
            </w:r>
          </w:p>
        </w:tc>
      </w:tr>
      <w:tr>
        <w:trPr/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100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3/3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0.4557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0.6450</w:t>
            </w:r>
            <w:bookmarkStart w:id="15" w:name="tab%253Adays"/>
            <w:bookmarkEnd w:id="15"/>
          </w:p>
        </w:tc>
      </w:tr>
    </w:tbl>
    <w:p>
      <w:pPr>
        <w:pStyle w:val="CaptionedFigure"/>
        <w:spacing w:before="0" w:after="20"/>
        <w:jc w:val="center"/>
        <w:rPr/>
      </w:pPr>
      <w:r>
        <w:rPr/>
        <w:drawing>
          <wp:inline distT="0" distB="0" distL="0" distR="0">
            <wp:extent cx="5334000" cy="218186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 xml:space="preserve">Observed three-day range of retrospective log-loss gains; vertical spreads are </w:t>
      </w:r>
      <w:r>
        <w:rPr>
          <w:b/>
          <w:bCs/>
        </w:rPr>
        <w:t>not</w:t>
      </w:r>
      <w:r>
        <w:rPr/>
        <w:t xml:space="preserve"> confidence intervals.</w:t>
      </w:r>
    </w:p>
    <w:p>
      <w:pPr>
        <w:pStyle w:val="BodyText"/>
        <w:rPr/>
      </w:pPr>
      <w:r>
        <w:rPr/>
        <w:t xml:space="preserve">For each horizon, the source Step 13/15 retains , , and the unweighted mean of precisely three day-level gaps. The third value is recoverable as  and the displayed sample SD uses denominator ; precision is limited by the six-decimal input summaries. These three days are the only empirical outer blocks. We do </w:t>
      </w:r>
      <w:r>
        <w:rPr>
          <w:i/>
          <w:iCs/>
        </w:rPr>
        <w:t>not</w:t>
      </w:r>
      <w:r>
        <w:rPr/>
        <w:t xml:space="preserve"> apply a window-level paired -test, Wilcoxon test, bootstrap CI, or ANOVA to 136k overlapping observations, nor call 100 alternative graphs 100 test splits. Even a nominal day-level 95% CI would be unreliable and non-confirmatory because , temporal dependence is plausible, and these days were exposed to previous research. Therefore no causal-edge -value or statistically significant forecast improvement is claimed. This is an explicit missing inferential requirement, not a suppressed negative result.</w:t>
      </w:r>
      <w:bookmarkEnd w:id="14"/>
    </w:p>
    <w:p>
      <w:pPr>
        <w:pStyle w:val="Heading2"/>
        <w:rPr/>
      </w:pPr>
      <w:r>
        <w:rPr/>
        <w:t>Probabilistic calibration and coverage error</w:t>
      </w:r>
    </w:p>
    <w:p>
      <w:pPr>
        <w:pStyle w:val="TableCaption"/>
        <w:rPr/>
      </w:pPr>
      <w:r>
        <w:rPr/>
        <w:t xml:space="preserve">Confidence ECE from the full-observation Step 6 cohort. </w:t>
      </w:r>
      <w:r>
        <w:rPr>
          <w:i/>
          <w:iCs/>
        </w:rPr>
        <w:t>Do not</w:t>
      </w:r>
      <w:r>
        <w:rPr/>
        <w:t xml:space="preserve"> compare these values directly to the stricter DeepLOB-matched cohort in Table </w:t>
      </w:r>
      <w:hyperlink w:anchor="tab%253Amatched">
        <w:r>
          <w:rPr>
            <w:rStyle w:val="Hyperlink"/>
          </w:rPr>
          <w:t>3</w:t>
        </w:r>
      </w:hyperlink>
      <w:r>
        <w:rPr/>
        <w:t>.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DBN ECE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Prior ECE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DBN LL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Prior LL</w:t>
            </w:r>
          </w:p>
        </w:tc>
      </w:tr>
      <w:tr>
        <w:trPr/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10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en-US" w:eastAsia="en-US" w:bidi="ar-SA"/>
              </w:rPr>
              <w:t>0.088780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0.101577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0.499358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0.830344</w:t>
            </w:r>
          </w:p>
        </w:tc>
      </w:tr>
      <w:tr>
        <w:trPr/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20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0.135478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en-US" w:eastAsia="en-US" w:bidi="ar-SA"/>
              </w:rPr>
              <w:t>0.126579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0.715190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0.958605</w:t>
            </w:r>
          </w:p>
        </w:tc>
      </w:tr>
      <w:tr>
        <w:trPr/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30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0.195836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en-US" w:eastAsia="en-US" w:bidi="ar-SA"/>
              </w:rPr>
              <w:t>0.143100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0.937313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1.030661</w:t>
            </w:r>
          </w:p>
        </w:tc>
      </w:tr>
      <w:tr>
        <w:trPr/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50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0.103171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en-US" w:eastAsia="en-US" w:bidi="ar-SA"/>
              </w:rPr>
              <w:t>0.068967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1.070878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1.109434</w:t>
            </w:r>
          </w:p>
        </w:tc>
      </w:tr>
      <w:tr>
        <w:trPr/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100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0.086855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7"/>
                <w:szCs w:val="24"/>
                <w:lang w:val="en-US" w:eastAsia="en-US" w:bidi="ar-SA"/>
              </w:rPr>
              <w:t>0.063303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1.146834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1.160453</w:t>
            </w:r>
            <w:bookmarkStart w:id="16" w:name="tab%253Aece"/>
            <w:bookmarkEnd w:id="16"/>
          </w:p>
        </w:tc>
      </w:tr>
    </w:tbl>
    <w:p>
      <w:pPr>
        <w:pStyle w:val="CaptionedFigure"/>
        <w:spacing w:before="0" w:after="20"/>
        <w:jc w:val="center"/>
        <w:rPr/>
      </w:pPr>
      <w:r>
        <w:rPr/>
        <w:drawing>
          <wp:inline distT="0" distB="0" distL="0" distR="0">
            <wp:extent cx="5334000" cy="188658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ECE by publisher horizon on the Step 6 cohort: DBN confidence calibration is not consistently better than the prior.</w:t>
      </w:r>
    </w:p>
    <w:p>
      <w:pPr>
        <w:pStyle w:val="BodyText"/>
        <w:rPr/>
      </w:pPr>
      <w:bookmarkStart w:id="17" w:name="X47b2d8c4d40ef953512b07e8c5ca4abdbf04ba1"/>
      <w:r>
        <w:rPr/>
        <w:t>The DBN improves ECE versus the prior only at . For larger horizons, its ECE worsens even where its overall log loss remains lower; calibration and proper scoring rules capture different failures. Step 6 reports multiclass probabilities, not just hard classifications. Fully reconstructed reliability-bin diagrams would require the unavailable stored row-level probabilities and labels; no bin counts are invented. Likewise, posterior 90% marginal coverage errors must be read alongside RMSE and NLL, not replaced by a generic “well calibrated” claim.</w:t>
      </w:r>
      <w:bookmarkEnd w:id="17"/>
    </w:p>
    <w:p>
      <w:pPr>
        <w:pStyle w:val="Heading2"/>
        <w:rPr/>
      </w:pPr>
      <w:bookmarkStart w:id="18" w:name="X784be720cbdb8f15854aecea83d3a863074c43c"/>
      <w:r>
        <w:rPr/>
        <w:t>Variation in structure, regime, data and numerical approximation</w:t>
      </w:r>
    </w:p>
    <w:p>
      <w:pPr>
        <w:pStyle w:val="FirstParagraph"/>
        <w:rPr/>
      </w:pPr>
      <w:r>
        <w:rPr>
          <w:b/>
          <w:bCs/>
        </w:rPr>
        <w:t>Random graph identity:</w:t>
      </w:r>
      <w:r>
        <w:rPr/>
        <w:t xml:space="preserve"> The 100 target/lag-matched alternative graphs vary source identity, </w:t>
      </w:r>
      <w:r>
        <w:rPr>
          <w:i/>
          <w:iCs/>
        </w:rPr>
        <w:t>not</w:t>
      </w:r>
      <w:r>
        <w:rPr/>
        <w:t xml:space="preserve"> graph density or empirical causal ground truth. The empirical comparison gives conditional rank fractions, not a valid structure-discovery hypothesis test. </w:t>
      </w:r>
      <w:r>
        <w:rPr>
          <w:b/>
          <w:bCs/>
        </w:rPr>
        <w:t>Constructed mechanisms:</w:t>
      </w:r>
      <w:r>
        <w:rPr/>
        <w:t xml:space="preserve"> source Step 16 includes 40 replications of a known stable synthetic generator: a designated true-edge model beats AR(5) and a wrong-edge model 40/40 each, and dense 39/40; under a deliberately flipped coefficient, it beats neither AR(5) nor wrong-edge (0/40 each), but beats dense 29/40. This checks sensitivity to a change in data-generating mechanism and is </w:t>
      </w:r>
      <w:r>
        <w:rPr>
          <w:i/>
          <w:iCs/>
        </w:rPr>
        <w:t>not</w:t>
      </w:r>
      <w:r>
        <w:rPr/>
        <w:t xml:space="preserve"> FI-2010 structure recovery. </w:t>
      </w:r>
      <w:r>
        <w:rPr>
          <w:b/>
          <w:bCs/>
        </w:rPr>
        <w:t>Sample size/noise/density:</w:t>
      </w:r>
      <w:r>
        <w:rPr/>
        <w:t xml:space="preserve"> the supplied executed outputs do not contain a verified empirical sample-size-vs-SHD, injected-noise grid, or graph-density sweep. We do not fabricate them; a future preregistered synthetic protocol with true graphs would be needed.</w:t>
      </w:r>
      <w:bookmarkEnd w:id="13"/>
      <w:bookmarkEnd w:id="18"/>
    </w:p>
    <w:p>
      <w:pPr>
        <w:pStyle w:val="Heading1"/>
        <w:rPr/>
      </w:pPr>
      <w:bookmarkStart w:id="19" w:name="X66731a4ce580caed6fa6e6826d6240d3d9ee395"/>
      <w:r>
        <w:rPr/>
        <w:t>Exact-versus-approximate inference: explicit numerical fixture</w:t>
      </w:r>
    </w:p>
    <w:p>
      <w:pPr>
        <w:pStyle w:val="FirstParagraph"/>
        <w:rPr/>
      </w:pPr>
      <w:r>
        <w:rPr/>
        <w:t xml:space="preserve">The M1 inference commitment and M2 handoff call for an inference-error-versus-time curve on the </w:t>
      </w:r>
      <w:r>
        <w:rPr>
          <w:i/>
          <w:iCs/>
        </w:rPr>
        <w:t>frozen real DBN</w:t>
      </w:r>
      <w:r>
        <w:rPr/>
        <w:t xml:space="preserve">. The uploaded notebook’s Drive-based fitted  and transition checkpoints are not present here; a faithful new empirical timing benchmark cannot be asserted. The companion re-analysis notebook instead performed a six-dimensional diagonal-Gaussian </w:t>
      </w:r>
      <w:r>
        <w:rPr>
          <w:b/>
          <w:bCs/>
        </w:rPr>
        <w:t>synthetic numerical check</w:t>
      </w:r>
      <w:r>
        <w:rPr/>
        <w:t xml:space="preserve"> with 50 deterministic sampling replications per Monte Carlo size, using exact conditional Gaussian mean as reference. As expected, posterior-mean error shrinks with larger Monte Carlo samples while analytic conditioning has no sampling error.</w:t>
      </w:r>
    </w:p>
    <w:p>
      <w:pPr>
        <w:pStyle w:val="TableCaption"/>
        <w:rPr/>
      </w:pPr>
      <w:r>
        <w:rPr>
          <w:b/>
          <w:bCs/>
        </w:rPr>
        <w:t>Synthetic-only</w:t>
      </w:r>
      <w:r>
        <w:rPr/>
        <w:t xml:space="preserve"> Gaussian numerical test, 50 replications. The shown 95%  intervals quantify conditional Monte Carlo variation </w:t>
      </w:r>
      <w:r>
        <w:rPr>
          <w:i/>
          <w:iCs/>
        </w:rPr>
        <w:t>for this fixture only</w:t>
      </w:r>
      <w:r>
        <w:rPr/>
        <w:t>, not FI-2010 uncertainty.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MC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Mean RMSE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Sample SD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95% CI (fixture)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shd w:fill="E4EEF5"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color w:val="145A7A"/>
                <w:kern w:val="0"/>
                <w:sz w:val="17"/>
                <w:szCs w:val="24"/>
                <w:lang w:val="en-US" w:eastAsia="en-US" w:bidi="ar-SA"/>
              </w:rPr>
              <w:t>50-run time (s)</w:t>
            </w:r>
          </w:p>
        </w:tc>
      </w:tr>
      <w:tr>
        <w:trPr/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32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0.14945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0.07302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[0.12869, 0.17020]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0.0100</w:t>
            </w:r>
          </w:p>
        </w:tc>
      </w:tr>
      <w:tr>
        <w:trPr/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128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0.09150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0.04786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[0.07789, 0.10510]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0.0048</w:t>
            </w:r>
          </w:p>
        </w:tc>
      </w:tr>
      <w:tr>
        <w:trPr/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512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0.04226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0.02179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[0.03607, 0.04845]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0.0063</w:t>
            </w:r>
          </w:p>
        </w:tc>
      </w:tr>
      <w:tr>
        <w:trPr/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2048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0.01994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0.01236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[0.01643, 0.02346]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0.0101</w:t>
            </w:r>
          </w:p>
        </w:tc>
      </w:tr>
      <w:tr>
        <w:trPr/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8192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0.00825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0.00561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[0.00666, 0.00984]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Compact"/>
              <w:widowControl/>
              <w:suppressAutoHyphens w:val="true"/>
              <w:spacing w:before="20" w:after="20"/>
              <w:jc w:val="righ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17"/>
                <w:szCs w:val="24"/>
                <w:lang w:val="en-US" w:eastAsia="en-US" w:bidi="ar-SA"/>
              </w:rPr>
              <w:t>0.0249</w:t>
            </w:r>
            <w:bookmarkStart w:id="20" w:name="tab%253Amc"/>
            <w:bookmarkEnd w:id="20"/>
          </w:p>
        </w:tc>
      </w:tr>
    </w:tbl>
    <w:p>
      <w:pPr>
        <w:pStyle w:val="CaptionedFigure"/>
        <w:spacing w:before="0" w:after="20"/>
        <w:jc w:val="center"/>
        <w:rPr/>
      </w:pPr>
      <w:r>
        <w:rPr/>
        <w:drawing>
          <wp:inline distT="0" distB="0" distL="0" distR="0">
            <wp:extent cx="5334000" cy="247650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rPr/>
      </w:pPr>
      <w:r>
        <w:rPr/>
        <w:t>Exact Gaussian versus sampled mean, synthetic numerical fixture only; wall-clock time depends on this run’s implementation and hardware.</w:t>
      </w:r>
    </w:p>
    <w:p>
      <w:pPr>
        <w:pStyle w:val="BodyText"/>
        <w:rPr/>
      </w:pPr>
      <w:r>
        <w:rPr/>
        <w:t xml:space="preserve">Times are totals for 50 samples-of-size- experiments, not times for each posterior query; small- runtimes are noisy/non-monotonic and should not be used for hardware-independent speed claims. The earlier M2 report contained a </w:t>
      </w:r>
      <w:r>
        <w:rPr>
          <w:i/>
          <w:iCs/>
        </w:rPr>
        <w:t>different</w:t>
      </w:r>
      <w:r>
        <w:rPr/>
        <w:t xml:space="preserve"> numerical test (RMSE 0.228 at 32 to 0.0288 at 2,048). Neither is a real-data benchmark. The required real frozen-DBN inference timing therefore remains contingent on loading the original checkpoints, and is identified as an incomplete experiment rather than a market result.</w:t>
      </w:r>
      <w:bookmarkEnd w:id="19"/>
    </w:p>
    <w:p>
      <w:pPr>
        <w:pStyle w:val="Heading1"/>
        <w:rPr/>
      </w:pPr>
      <w:bookmarkStart w:id="21" w:name="revised-sota-positioning"/>
      <w:r>
        <w:rPr/>
        <w:t>Revised SOTA positioning</w:t>
      </w:r>
    </w:p>
    <w:p>
      <w:pPr>
        <w:pStyle w:val="FirstParagraph"/>
        <w:rPr/>
      </w:pPr>
      <w:r>
        <w:rPr>
          <w:b/>
          <w:bCs/>
        </w:rPr>
        <w:t>Structure-learning anchor:</w:t>
      </w:r>
      <w:r>
        <w:rPr/>
        <w:t xml:space="preserve"> Gerhardus and Runge (NeurIPS 2020; DLR Institute of Data Science) propose LPCMCI for high-recall discovery under autocorrelation and latent confounders . </w:t>
      </w:r>
      <w:r>
        <w:rPr>
          <w:i/>
          <w:iCs/>
        </w:rPr>
        <w:t>Problem</w:t>
      </w:r>
      <w:r>
        <w:rPr/>
        <w:t xml:space="preserve">: autocorrelated observational time series. </w:t>
      </w:r>
      <w:r>
        <w:rPr>
          <w:i/>
          <w:iCs/>
        </w:rPr>
        <w:t>Representation</w:t>
      </w:r>
      <w:r>
        <w:rPr/>
        <w:t xml:space="preserve">: temporal causal graphs with orientation ambiguity. </w:t>
      </w:r>
      <w:r>
        <w:rPr>
          <w:i/>
          <w:iCs/>
        </w:rPr>
        <w:t>Learning</w:t>
      </w:r>
      <w:r>
        <w:rPr/>
        <w:t xml:space="preserve">: iterative CI testing/orientation rules. </w:t>
      </w:r>
      <w:r>
        <w:rPr>
          <w:i/>
          <w:iCs/>
        </w:rPr>
        <w:t>Inference/evaluation</w:t>
      </w:r>
      <w:r>
        <w:rPr/>
        <w:t xml:space="preserve">: structural discovery evaluated on controlled graphical models, not a learned six-state DBN posterior or LOB trading performance. </w:t>
      </w:r>
      <w:r>
        <w:rPr>
          <w:i/>
          <w:iCs/>
        </w:rPr>
        <w:t>Transfer to CausalLOB</w:t>
      </w:r>
      <w:r>
        <w:rPr/>
        <w:t xml:space="preserve">: use LPCMCI for candidate lagged relations, challenge source–target families beyond discovery days, then freeze an explicit Gaussian inference model. </w:t>
      </w:r>
      <w:r>
        <w:rPr>
          <w:i/>
          <w:iCs/>
        </w:rPr>
        <w:t>Limitations</w:t>
      </w:r>
      <w:r>
        <w:rPr/>
        <w:t>: observational assumptions and no FI-2010 ground-truth DAG prevent a causal recovery claim. Our random-identity ranking is not a reproduction of the NeurIPS SHD/recall benchmarks.</w:t>
      </w:r>
    </w:p>
    <w:p>
      <w:pPr>
        <w:pStyle w:val="BodyText"/>
        <w:rPr/>
      </w:pPr>
      <w:r>
        <w:rPr>
          <w:b/>
          <w:bCs/>
        </w:rPr>
        <w:t>Applied forecasting comparator:</w:t>
      </w:r>
      <w:r>
        <w:rPr/>
        <w:t xml:space="preserve"> Zhang, Zohren and Roberts’ DeepLOB (IEEE TSP, 2019) combines neural LOB window representation and supervised prediction . The uploaded notebook’s </w:t>
      </w:r>
      <w:r>
        <w:rPr>
          <w:i/>
          <w:iCs/>
        </w:rPr>
        <w:t>DeepLOB-style</w:t>
      </w:r>
      <w:r>
        <w:rPr/>
        <w:t xml:space="preserve"> model offers a predictive reference. It has lower matched log loss across all five horizons (Table </w:t>
      </w:r>
      <w:hyperlink w:anchor="tab%253Amatched">
        <w:r>
          <w:rPr>
            <w:rStyle w:val="Hyperlink"/>
          </w:rPr>
          <w:t>3</w:t>
        </w:r>
      </w:hyperlink>
      <w:r>
        <w:rPr/>
        <w:t xml:space="preserve">) but different features, receptive field and capacity, so this is not a causal-discovery comparison or claim to reproduce a published SOTA leaderboard. </w:t>
      </w:r>
      <w:r>
        <w:rPr>
          <w:b/>
          <w:bCs/>
        </w:rPr>
        <w:t>Repositioning after M3:</w:t>
      </w:r>
      <w:r>
        <w:rPr/>
        <w:t xml:space="preserve"> CausalLOB is an interpretable, inspectable probabilistic baseline with limited incremental edge-specific transition gains and material gaps in prediction robustness and calibration. That narrower conclusion supersedes any optimistic M1 framing; it still delivers a substantive Representation–Learning–Inference evaluation.</w:t>
      </w:r>
      <w:bookmarkEnd w:id="21"/>
    </w:p>
    <w:p>
      <w:pPr>
        <w:pStyle w:val="Heading1"/>
        <w:rPr/>
      </w:pPr>
      <w:bookmarkStart w:id="22" w:name="discussion-limitations-and-m4-handoff"/>
      <w:r>
        <w:rPr/>
        <w:t>Discussion and limitations</w:t>
      </w:r>
    </w:p>
    <w:p>
      <w:pPr>
        <w:pStyle w:val="FirstParagraph"/>
        <w:rPr/>
      </w:pPr>
      <w:r>
        <w:rPr>
          <w:b/>
          <w:bCs/>
        </w:rPr>
        <w:t>What worked:</w:t>
      </w:r>
      <w:r>
        <w:rPr/>
        <w:t xml:space="preserve"> frozen graph fidelity, boundary-safe temporal modeling, probabilistic outcome outputs, exact masked-state queries, numerical validity checks, and certain positive graph-specific ablations. </w:t>
      </w:r>
      <w:r>
        <w:rPr>
          <w:b/>
          <w:bCs/>
        </w:rPr>
        <w:t>What did not:</w:t>
      </w:r>
      <w:r>
        <w:rPr/>
        <w:t xml:space="preserve"> dense VAR has lower transition error, DeepLOB has lower matched forecast log loss, a class prior wins all consecutive-gap forecast cells, and probability calibration is inconsistent. These negatives are central to the scientific interpretation, not exceptions to hide.</w:t>
      </w:r>
    </w:p>
    <w:p>
      <w:pPr>
        <w:pStyle w:val="BodyText"/>
        <w:rPr/>
      </w:pPr>
      <w:r>
        <w:rPr>
          <w:b/>
          <w:bCs/>
        </w:rPr>
        <w:t>Limitations:</w:t>
      </w:r>
      <w:r>
        <w:rPr/>
        <w:t xml:space="preserve"> (i) only three historically inspected empirical evaluation days; (ii) anonymous securities and a single benchmark; (iii) missing original Drive files, preventing fresh full-data replay of fitted checkpoints; (iv) unknown exact publisher label-generation semantics; (v) observational edges and latent confounding; (vi) artificial missingness and conditional-diagonal  assumptions; (vii) DeepLOB input and capacity mismatch; (viii) no verified deployment, transaction cost, fees, impact, real-time execution or net-P&amp;L; (ix) no legitimate selection-adjusted causal significance claim.</w:t>
      </w:r>
    </w:p>
    <w:p>
      <w:pPr>
        <w:pStyle w:val="BodyText"/>
        <w:rPr/>
      </w:pPr>
      <w:r>
        <w:rPr>
          <w:b/>
          <w:bCs/>
        </w:rPr>
        <w:t>M4 study design:</w:t>
      </w:r>
      <w:r>
        <w:rPr/>
        <w:t xml:space="preserve"> acquire genuinely unseen compatible market data and verify label generation </w:t>
      </w:r>
      <w:r>
        <w:rPr>
          <w:i/>
          <w:iCs/>
        </w:rPr>
        <w:t>before</w:t>
      </w:r>
      <w:r>
        <w:rPr/>
        <w:t xml:space="preserve"> evaluation; freeze new claims and conditions ex ante; use sufficiently many independent trading-day blocks for robust day-cluster intervals/paired inference; assess noise/missingness, graph size/density and real fitted- inference cost; archive failures and do not tune on previously examined Days 8–10. This is the evidential work still required for a stronger conclusion.</w:t>
      </w:r>
      <w:bookmarkEnd w:id="22"/>
    </w:p>
    <w:p>
      <w:pPr>
        <w:pStyle w:val="Heading1"/>
        <w:rPr/>
      </w:pPr>
      <w:r>
        <w:rPr/>
        <w:t>Conclusion</w:t>
      </w:r>
    </w:p>
    <w:p>
      <w:pPr>
        <w:pStyle w:val="FirstParagraph"/>
        <w:rPr/>
      </w:pPr>
      <w:r>
        <w:rPr/>
        <w:t xml:space="preserve">M3 follows the frozen M1/M2 research contract and provides matched probabilistic comparisons, meaningful ablations, descriptive uncertainty and negative-result robustness analysis. The sparse temporal DBN outperforms AR(5) on selected reconstruction metrics, but does not dominate richer predictors or a simple missingness fallback prior. Its credible contribution is an explicit uncertainty-aware representation and a transparent record of where that representation helps and fails. Results are </w:t>
      </w:r>
      <w:r>
        <w:rPr>
          <w:i/>
          <w:iCs/>
        </w:rPr>
        <w:t>retrospective</w:t>
      </w:r>
      <w:r>
        <w:rPr/>
        <w:t xml:space="preserve"> and do not identify market causality, establish significance, or justify trading profitability.</w:t>
      </w:r>
    </w:p>
    <w:p>
      <w:pPr>
        <w:pStyle w:val="Normal"/>
        <w:spacing w:before="0" w:after="40"/>
        <w:ind w:hanging="346" w:left="346"/>
        <w:rPr/>
      </w:pPr>
      <w:r>
        <w:rPr>
          <w:sz w:val="17"/>
        </w:rPr>
        <w:t>[1] A. Ntakaris et al., “Benchmark Dataset for Mid-Price Forecasting of Limit Order Book Data with Machine Learning Methods,” Journal of Forecasting 37(8), 852–866, 2018. doi:10.1002/for.2543.</w:t>
      </w:r>
    </w:p>
    <w:p>
      <w:pPr>
        <w:pStyle w:val="Normal"/>
        <w:spacing w:before="0" w:after="40"/>
        <w:ind w:hanging="346" w:left="346"/>
        <w:rPr/>
      </w:pPr>
      <w:r>
        <w:rPr>
          <w:sz w:val="17"/>
        </w:rPr>
        <w:t>[2] A. Gerhardus and J. Runge, “High-Recall Causal Discovery for Autocorrelated Time Series with Latent Confounders,” Advances in Neural Information Processing Systems, 2020.</w:t>
      </w:r>
    </w:p>
    <w:p>
      <w:pPr>
        <w:pStyle w:val="Normal"/>
        <w:spacing w:before="0" w:after="40"/>
        <w:ind w:hanging="346" w:left="346"/>
        <w:rPr/>
      </w:pPr>
      <w:r>
        <w:rPr>
          <w:sz w:val="17"/>
        </w:rPr>
        <w:t>[3] J. Runge, “Discovering Contemporaneous and Lagged Causal Relations in Autocorrelated Nonlinear Time Series Datasets,” UAI, PMLR 124, 1388–1397, 2020.</w:t>
      </w:r>
    </w:p>
    <w:p>
      <w:pPr>
        <w:pStyle w:val="Normal"/>
        <w:spacing w:before="0" w:after="40"/>
        <w:ind w:hanging="346" w:left="346"/>
        <w:rPr/>
      </w:pPr>
      <w:r>
        <w:rPr>
          <w:sz w:val="17"/>
        </w:rPr>
        <w:t>[4] Z. Zhang, S. Zohren, and S. Roberts, “DeepLOB: Deep Convolutional Neural Networks for Limit Order Books,” IEEE Transactions on Signal Processing 67(11), 3001–3012, 2019. doi:10.1109/TSP.2019.2907260.</w:t>
      </w:r>
    </w:p>
    <w:p>
      <w:pPr>
        <w:pStyle w:val="Normal"/>
        <w:spacing w:before="0" w:after="40"/>
        <w:ind w:hanging="346" w:left="346"/>
        <w:rPr/>
      </w:pPr>
      <w:r>
        <w:rPr>
          <w:sz w:val="17"/>
        </w:rPr>
        <w:t>[5] Group G9, “CausalLOB: Milestone 1 Proposal &amp; Scoping,” CSE 516, September 2026, M1_G9_Merged_Final.pdf.</w:t>
      </w:r>
    </w:p>
    <w:p>
      <w:pPr>
        <w:pStyle w:val="Normal"/>
        <w:spacing w:before="0" w:after="40"/>
        <w:ind w:hanging="346" w:left="346"/>
        <w:rPr/>
      </w:pPr>
      <w:r>
        <w:rPr>
          <w:sz w:val="17"/>
        </w:rPr>
        <w:t>[6] Group G9, “CausalLOB: Technical Foundation for a Dynamic Bayesian Network of Limit-Order-Book States,” CSE 516, Milestone 2, M2_G9_Report.pdf.</w:t>
      </w:r>
    </w:p>
    <w:p>
      <w:pPr>
        <w:pStyle w:val="Normal"/>
        <w:spacing w:before="0" w:after="40"/>
        <w:ind w:hanging="346" w:left="346"/>
        <w:rPr/>
      </w:pPr>
      <w:r>
        <w:rPr>
          <w:sz w:val="17"/>
        </w:rPr>
        <w:t>[7] CSE 516, “Major Project Guidelines,” provided course PDF and updated M3 deliverables notice.</w:t>
      </w:r>
    </w:p>
    <w:p>
      <w:pPr>
        <w:pStyle w:val="Normal"/>
        <w:spacing w:before="0" w:after="40"/>
        <w:ind w:hanging="346" w:left="346"/>
        <w:rPr/>
      </w:pPr>
      <w:bookmarkStart w:id="23" w:name="conclusion"/>
      <w:r>
        <w:rPr>
          <w:sz w:val="17"/>
        </w:rPr>
        <w:t>[8] Group G9, PGM_Project (4).ipynb, previously executed CausalLOB Steps 6–9 and 13–16, archived outputs; source Drive checkpoints unavailable.</w:t>
      </w:r>
      <w:bookmarkEnd w:id="23"/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2240" w:h="15840"/>
      <w:pgMar w:left="1080" w:right="1080" w:gutter="0" w:header="0" w:top="461" w:footer="0" w:bottom="50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tos Display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8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8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8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8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8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8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lineRule="auto" w:line="264" w:before="0" w:after="80"/>
      <w:jc w:val="left"/>
    </w:pPr>
    <w:rPr>
      <w:rFonts w:ascii="Cambria" w:hAnsi="Cambria" w:eastAsia="Cambria" w:cs=""/>
      <w:color w:val="27323F"/>
      <w:kern w:val="0"/>
      <w:sz w:val="20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200" w:after="8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45A7A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8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45A7A"/>
      <w:sz w:val="23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64" w:before="0" w:after="80"/>
    </w:pPr>
    <w:rPr>
      <w:rFonts w:ascii="Cambria" w:hAnsi="Cambria"/>
      <w:color w:val="27323F"/>
      <w:sz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64" w:before="0" w:after="80"/>
    </w:pPr>
    <w:rPr>
      <w:rFonts w:ascii="Cambria" w:hAnsi="Cambria"/>
      <w:color w:val="27323F"/>
      <w:sz w:val="20"/>
    </w:rPr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suppressAutoHyphens w:val="true"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  <w:spacing w:before="100" w:after="60"/>
    </w:pPr>
    <w:rPr>
      <w:rFonts w:ascii="Cambria" w:hAnsi="Cambria"/>
      <w:i/>
      <w:color w:val="2C4355"/>
      <w:sz w:val="17"/>
    </w:rPr>
  </w:style>
  <w:style w:type="paragraph" w:styleId="ImageCaption" w:customStyle="1">
    <w:name w:val="Image Caption"/>
    <w:basedOn w:val="Caption"/>
    <w:qFormat/>
    <w:pPr>
      <w:spacing w:before="100" w:after="60"/>
    </w:pPr>
    <w:rPr>
      <w:rFonts w:ascii="Cambria" w:hAnsi="Cambria"/>
      <w:i/>
      <w:color w:val="2C4355"/>
      <w:sz w:val="17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9</Pages>
  <Words>3005</Words>
  <Characters>19176</Characters>
  <CharactersWithSpaces>21927</CharactersWithSpaces>
  <Paragraphs>256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2026-10-29T21:52:57Z</dcterms:created>
  <dc:creator>CSE 516 Group G9</dc:creator>
  <dc:description/>
  <dc:language>en-IN</dc:language>
  <cp:lastModifiedBy/>
  <dcterms:modified xsi:type="dcterms:W3CDTF">2026-10-30T03:35:59Z</dcterms:modified>
  <cp:revision>2</cp:revision>
  <dc:subject>CSE 516 Probabilistic Graphical Models | Group G9</dc:subject>
  <dc:title>CausalLOB - Milestone 3 Results and Analysis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evaluate the frozen CausalLOB six-state dynamic Bayesian network (DBN) established in Milestones 1–2 on the FI-2010 NoAuction Decimal Precision benchmark. LPCMCI-discovered candidates were screened on Days 6–7; the resulting graph retains 30 own-history and nine cross-variable lag slots and is not reopened in M3. The sparse model has lower retrospective pooled state RMSE than an equal-history AR(5) baseline (0.586137 versus 0.588347), but a dense VAR(5) is slightly better (0.585171). On matched complete-evidence rows, a DeepLOB-style predictive comparator has lower log loss at all five outcome horizons, although the DBN has better balanced accuracy and Brier score at horizon 10. The training class-prior baseline beats the DBN on all 12 pooled consecutive-gap comparisons. We report descriptive three-day variability, calibrated-probability metrics, graph and missing-evidence ablations, and a clearly separated synthetic exact-versus-Monte-Carlo numerical check. The original dataset checkpoints were not supplied with the uploaded notebook: FI-2010 results in this report are recovered from earlier executed outputs, not freshly rerun or independently confirmed; Days 8–10 were previously inspected. The contribution is a transparent probabilistic evaluation, not identified market causality or predictive superiority.</vt:lpwstr>
  </property>
</Properties>
</file>