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color w:val="000000"/>
          <w:sz w:val="20"/>
          <w:szCs w:val="20"/>
        </w:rPr>
        <w:t xml:space="preserve">INTP302 — Voice Maintenance Intake Station</w:t>
      </w:r>
    </w:p>
    <w:p>
      <w:pPr>
        <w:spacing w:after="300"/>
        <w:jc w:val="center"/>
      </w:pPr>
      <w:r>
        <w:rPr>
          <w:b/>
          <w:bCs/>
          <w:color w:val="000000"/>
          <w:sz w:val="32"/>
          <w:szCs w:val="32"/>
        </w:rPr>
        <w:t xml:space="preserve">Shared Contracts — Agreed Before Building</w:t>
      </w:r>
    </w:p>
    <w:p>
      <w:pPr>
        <w:spacing w:after="120"/>
      </w:pPr>
      <w:r>
        <w:rPr>
          <w:color w:val="000000"/>
          <w:sz w:val="22"/>
          <w:szCs w:val="22"/>
        </w:rPr>
        <w:t xml:space="preserve">These are the exact formats every team member builds against. Changing any of these after work has started will break someone else's code, so treat this as locked unless the whole team agrees on a change together.</w:t>
      </w:r>
    </w:p>
    <w:p>
      <w:pPr>
        <w:pBdr>
          <w:bottom w:val="single" w:color="000000" w:sz="6" w:space="4"/>
        </w:pBdr>
        <w:spacing w:after="140" w:before="300"/>
      </w:pPr>
      <w:r>
        <w:rPr>
          <w:b/>
          <w:bCs/>
          <w:color w:val="000000"/>
          <w:sz w:val="28"/>
          <w:szCs w:val="28"/>
        </w:rPr>
        <w:t xml:space="preserve">1. Upload Format — Pi (Aryan) to API (Anshpreet)</w:t>
      </w:r>
    </w:p>
    <w:p>
      <w:pPr>
        <w:spacing w:after="120"/>
      </w:pPr>
      <w:r>
        <w:rPr>
          <w:b/>
          <w:bCs/>
          <w:color w:val="000000"/>
          <w:sz w:val="22"/>
          <w:szCs w:val="22"/>
        </w:rPr>
        <w:t xml:space="preserve">Request: POST /api/intake, multipart/form-data, header X-Device-Key: &lt;shared secret&gt;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bCs/>
                <w:color w:val="000000"/>
                <w:sz w:val="20"/>
                <w:szCs w:val="20"/>
              </w:rPr>
              <w:t xml:space="preserve">Field</w:t>
            </w:r>
          </w:p>
        </w:tc>
        <w:tc>
          <w:tcPr>
            <w:tcW w:type="dxa" w:w="3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bCs/>
                <w:color w:val="000000"/>
                <w:sz w:val="20"/>
                <w:szCs w:val="20"/>
              </w:rPr>
              <w:t xml:space="preserve">Type</w:t>
            </w:r>
          </w:p>
        </w:tc>
        <w:tc>
          <w:tcPr>
            <w:tcW w:type="dxa" w:w="36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bCs/>
                <w:color w:val="000000"/>
                <w:sz w:val="20"/>
                <w:szCs w:val="20"/>
              </w:rPr>
              <w:t xml:space="preserve">Example</w:t>
            </w:r>
          </w:p>
        </w:tc>
      </w:tr>
      <w:tr>
        <w:tc>
          <w:tcPr>
            <w:tcW w:type="dxa" w:w="2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audio</w:t>
            </w:r>
          </w:p>
        </w:tc>
        <w:tc>
          <w:tcPr>
            <w:tcW w:type="dxa" w:w="3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file (WAV, mono, 16kHz)</w:t>
            </w:r>
          </w:p>
        </w:tc>
        <w:tc>
          <w:tcPr>
            <w:tcW w:type="dxa" w:w="36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recording.wav</w:t>
            </w:r>
          </w:p>
        </w:tc>
      </w:tr>
      <w:tr>
        <w:tc>
          <w:tcPr>
            <w:tcW w:type="dxa" w:w="2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device_id</w:t>
            </w:r>
          </w:p>
        </w:tc>
        <w:tc>
          <w:tcPr>
            <w:tcW w:type="dxa" w:w="3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string</w:t>
            </w:r>
          </w:p>
        </w:tc>
        <w:tc>
          <w:tcPr>
            <w:tcW w:type="dxa" w:w="36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station-01</w:t>
            </w:r>
          </w:p>
        </w:tc>
      </w:tr>
      <w:tr>
        <w:tc>
          <w:tcPr>
            <w:tcW w:type="dxa" w:w="2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timestamp</w:t>
            </w:r>
          </w:p>
        </w:tc>
        <w:tc>
          <w:tcPr>
            <w:tcW w:type="dxa" w:w="3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string, ISO 8601 UTC</w:t>
            </w:r>
          </w:p>
        </w:tc>
        <w:tc>
          <w:tcPr>
            <w:tcW w:type="dxa" w:w="36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2026-08-02T14:30:00Z</w:t>
            </w:r>
          </w:p>
        </w:tc>
      </w:tr>
      <w:tr>
        <w:tc>
          <w:tcPr>
            <w:tcW w:type="dxa" w:w="2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transcript</w:t>
            </w:r>
          </w:p>
        </w:tc>
        <w:tc>
          <w:tcPr>
            <w:tcW w:type="dxa" w:w="3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string</w:t>
            </w:r>
          </w:p>
        </w:tc>
        <w:tc>
          <w:tcPr>
            <w:tcW w:type="dxa" w:w="36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There's a leak under the sink in room 204</w:t>
            </w:r>
          </w:p>
        </w:tc>
      </w:tr>
    </w:tbl>
    <w:p>
      <w:pPr>
        <w:spacing w:after="120"/>
      </w:pPr>
      <w:r>
        <w:rPr>
          <w:b/>
          <w:bCs/>
          <w:color w:val="000000"/>
          <w:sz w:val="22"/>
          <w:szCs w:val="22"/>
        </w:rPr>
        <w:t xml:space="preserve">Response: 201 -&gt; { "ticket_id": "uuid", "status": "Processing" }</w:t>
      </w:r>
    </w:p>
    <w:p>
      <w:pPr>
        <w:pStyle w:val="ListParagraph"/>
        <w:numPr>
          <w:ilvl w:val="0"/>
          <w:numId w:val="2"/>
        </w:numPr>
        <w:spacing w:after="70"/>
      </w:pPr>
      <w:r>
        <w:rPr>
          <w:color w:val="000000"/>
          <w:sz w:val="22"/>
          <w:szCs w:val="22"/>
        </w:rPr>
        <w:t xml:space="preserve">400 = bad input. Do not retry; log locally.</w:t>
      </w:r>
    </w:p>
    <w:p>
      <w:pPr>
        <w:pStyle w:val="ListParagraph"/>
        <w:numPr>
          <w:ilvl w:val="0"/>
          <w:numId w:val="2"/>
        </w:numPr>
        <w:spacing w:after="70"/>
      </w:pPr>
      <w:r>
        <w:rPr>
          <w:color w:val="000000"/>
          <w:sz w:val="22"/>
          <w:szCs w:val="22"/>
        </w:rPr>
        <w:t xml:space="preserve">401 = bad device key.</w:t>
      </w:r>
    </w:p>
    <w:p>
      <w:pPr>
        <w:pStyle w:val="ListParagraph"/>
        <w:numPr>
          <w:ilvl w:val="0"/>
          <w:numId w:val="2"/>
        </w:numPr>
        <w:spacing w:after="70"/>
      </w:pPr>
      <w:r>
        <w:rPr>
          <w:color w:val="000000"/>
          <w:sz w:val="22"/>
          <w:szCs w:val="22"/>
        </w:rPr>
        <w:t xml:space="preserve">5xx or network failure -&gt; retry with backoff (5s, 15s, 45s), then cache locally and retry again once connectivity returns.</w:t>
      </w:r>
    </w:p>
    <w:p>
      <w:pPr>
        <w:pBdr>
          <w:bottom w:val="single" w:color="000000" w:sz="6" w:space="4"/>
        </w:pBdr>
        <w:spacing w:after="140" w:before="300"/>
      </w:pPr>
      <w:r>
        <w:rPr>
          <w:b/>
          <w:bCs/>
          <w:color w:val="000000"/>
          <w:sz w:val="28"/>
          <w:szCs w:val="28"/>
        </w:rPr>
        <w:t xml:space="preserve">2. Agent Output Schema — Agent (Zaara) to Workflow (Anshpreet)</w:t>
      </w:r>
    </w:p>
    <w:p>
      <w:pPr>
        <w:pBdr>
          <w:top w:val="single" w:color="CCCCCC" w:sz="2"/>
          <w:bottom w:val="single" w:color="CCCCCC" w:sz="2"/>
          <w:left w:val="single" w:color="CCCCCC" w:sz="2"/>
          <w:right w:val="single" w:color="CCCCCC" w:sz="2"/>
        </w:pBdr>
        <w:shd w:fill="F0F0F0" w:val="clear"/>
        <w:spacing w:after="160"/>
      </w:pPr>
      <w:r>
        <w:rPr>
          <w:rFonts w:ascii="Consolas" w:cs="Consolas" w:eastAsia="Consolas" w:hAnsi="Consolas"/>
          <w:color w:val="000000"/>
          <w:sz w:val="19"/>
          <w:szCs w:val="19"/>
        </w:rPr>
        <w:t xml:space="preserve">{</w:t>
      </w:r>
      <w:r>
        <w:rPr>
          <w:rFonts w:ascii="Consolas" w:cs="Consolas" w:eastAsia="Consolas" w:hAnsi="Consolas"/>
          <w:color w:val="000000"/>
          <w:sz w:val="19"/>
          <w:szCs w:val="19"/>
        </w:rPr>
        <w:br/>
        <w:t xml:space="preserve">  "equipment": "string or null",</w:t>
      </w:r>
      <w:r>
        <w:rPr>
          <w:rFonts w:ascii="Consolas" w:cs="Consolas" w:eastAsia="Consolas" w:hAnsi="Consolas"/>
          <w:color w:val="000000"/>
          <w:sz w:val="19"/>
          <w:szCs w:val="19"/>
        </w:rPr>
        <w:br/>
        <w:t xml:space="preserve">  "location": "string or null",</w:t>
      </w:r>
      <w:r>
        <w:rPr>
          <w:rFonts w:ascii="Consolas" w:cs="Consolas" w:eastAsia="Consolas" w:hAnsi="Consolas"/>
          <w:color w:val="000000"/>
          <w:sz w:val="19"/>
          <w:szCs w:val="19"/>
        </w:rPr>
        <w:br/>
        <w:t xml:space="preserve">  "issue_summary": "string",</w:t>
      </w:r>
      <w:r>
        <w:rPr>
          <w:rFonts w:ascii="Consolas" w:cs="Consolas" w:eastAsia="Consolas" w:hAnsi="Consolas"/>
          <w:color w:val="000000"/>
          <w:sz w:val="19"/>
          <w:szCs w:val="19"/>
        </w:rPr>
        <w:br/>
        <w:t xml:space="preserve">  "confidence": 0.0,</w:t>
      </w:r>
      <w:r>
        <w:rPr>
          <w:rFonts w:ascii="Consolas" w:cs="Consolas" w:eastAsia="Consolas" w:hAnsi="Consolas"/>
          <w:color w:val="000000"/>
          <w:sz w:val="19"/>
          <w:szCs w:val="19"/>
        </w:rPr>
        <w:br/>
        <w:t xml:space="preserve">  "missing_information": false,</w:t>
      </w:r>
      <w:r>
        <w:rPr>
          <w:rFonts w:ascii="Consolas" w:cs="Consolas" w:eastAsia="Consolas" w:hAnsi="Consolas"/>
          <w:color w:val="000000"/>
          <w:sz w:val="19"/>
          <w:szCs w:val="19"/>
        </w:rPr>
        <w:br/>
        <w:t xml:space="preserve">  "requires_human_review": false</w:t>
      </w:r>
      <w:r>
        <w:rPr>
          <w:rFonts w:ascii="Consolas" w:cs="Consolas" w:eastAsia="Consolas" w:hAnsi="Consolas"/>
          <w:color w:val="000000"/>
          <w:sz w:val="19"/>
          <w:szCs w:val="19"/>
        </w:rPr>
        <w:br/>
        <w:t xml:space="preserve">}</w:t>
      </w:r>
    </w:p>
    <w:p>
      <w:pPr>
        <w:spacing w:after="120"/>
      </w:pPr>
      <w:r>
        <w:rPr>
          <w:b/>
          <w:bCs/>
          <w:color w:val="000000"/>
          <w:sz w:val="22"/>
          <w:szCs w:val="22"/>
        </w:rPr>
        <w:t xml:space="preserve">Locked business rule: auto-approve only if confidence &gt;= 0.7 AND missing_information == false AND requires_human_review == false. Otherwise, set status to "Pending Review".</w:t>
      </w:r>
    </w:p>
    <w:p>
      <w:pPr>
        <w:spacing w:after="120"/>
      </w:pPr>
      <w:r>
        <w:rPr>
          <w:color w:val="000000"/>
          <w:sz w:val="22"/>
          <w:szCs w:val="22"/>
        </w:rPr>
        <w:t xml:space="preserve">The 0.7 threshold can be tuned by Zaara during testing -- if it changes, tell Anshpreet immediately since his workflow logic depends on this exact value.</w:t>
      </w:r>
    </w:p>
    <w:p>
      <w:pPr>
        <w:pBdr>
          <w:bottom w:val="single" w:color="000000" w:sz="6" w:space="4"/>
        </w:pBdr>
        <w:spacing w:after="140" w:before="300"/>
      </w:pPr>
      <w:r>
        <w:rPr>
          <w:b/>
          <w:bCs/>
          <w:color w:val="000000"/>
          <w:sz w:val="28"/>
          <w:szCs w:val="28"/>
        </w:rPr>
        <w:t xml:space="preserve">3. Ticket Database Schema (canonical field names)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bCs/>
                <w:color w:val="000000"/>
                <w:sz w:val="20"/>
                <w:szCs w:val="20"/>
              </w:rPr>
              <w:t xml:space="preserve">Field</w:t>
            </w:r>
          </w:p>
        </w:tc>
        <w:tc>
          <w:tcPr>
            <w:tcW w:type="dxa" w:w="5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bCs/>
                <w:color w:val="000000"/>
                <w:sz w:val="20"/>
                <w:szCs w:val="20"/>
              </w:rPr>
              <w:t xml:space="preserve">Type / Notes</w:t>
            </w:r>
          </w:p>
        </w:tc>
      </w:tr>
      <w:tr>
        <w:tc>
          <w:tcPr>
            <w:tcW w:type="dxa" w:w="4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ticket_id</w:t>
            </w:r>
          </w:p>
        </w:tc>
        <w:tc>
          <w:tcPr>
            <w:tcW w:type="dxa" w:w="5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UUID string</w:t>
            </w:r>
          </w:p>
        </w:tc>
      </w:tr>
      <w:tr>
        <w:tc>
          <w:tcPr>
            <w:tcW w:type="dxa" w:w="4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device_id, device_timestamp</w:t>
            </w:r>
          </w:p>
        </w:tc>
        <w:tc>
          <w:tcPr>
            <w:tcW w:type="dxa" w:w="5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string, ISO 8601 UTC</w:t>
            </w:r>
          </w:p>
        </w:tc>
      </w:tr>
      <w:tr>
        <w:tc>
          <w:tcPr>
            <w:tcW w:type="dxa" w:w="4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created_at</w:t>
            </w:r>
          </w:p>
        </w:tc>
        <w:tc>
          <w:tcPr>
            <w:tcW w:type="dxa" w:w="5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string, ISO 8601 UTC (server-side)</w:t>
            </w:r>
          </w:p>
        </w:tc>
      </w:tr>
      <w:tr>
        <w:tc>
          <w:tcPr>
            <w:tcW w:type="dxa" w:w="4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audio_url</w:t>
            </w:r>
          </w:p>
        </w:tc>
        <w:tc>
          <w:tcPr>
            <w:tcW w:type="dxa" w:w="5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string, Blob Storage link</w:t>
            </w:r>
          </w:p>
        </w:tc>
      </w:tr>
      <w:tr>
        <w:tc>
          <w:tcPr>
            <w:tcW w:type="dxa" w:w="4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transcript</w:t>
            </w:r>
          </w:p>
        </w:tc>
        <w:tc>
          <w:tcPr>
            <w:tcW w:type="dxa" w:w="5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string</w:t>
            </w:r>
          </w:p>
        </w:tc>
      </w:tr>
      <w:tr>
        <w:tc>
          <w:tcPr>
            <w:tcW w:type="dxa" w:w="4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equipment, location, issue_summary</w:t>
            </w:r>
          </w:p>
        </w:tc>
        <w:tc>
          <w:tcPr>
            <w:tcW w:type="dxa" w:w="5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string or null</w:t>
            </w:r>
          </w:p>
        </w:tc>
      </w:tr>
      <w:tr>
        <w:tc>
          <w:tcPr>
            <w:tcW w:type="dxa" w:w="4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confidence</w:t>
            </w:r>
          </w:p>
        </w:tc>
        <w:tc>
          <w:tcPr>
            <w:tcW w:type="dxa" w:w="5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float</w:t>
            </w:r>
          </w:p>
        </w:tc>
      </w:tr>
      <w:tr>
        <w:tc>
          <w:tcPr>
            <w:tcW w:type="dxa" w:w="4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missing_information, requires_human_review</w:t>
            </w:r>
          </w:p>
        </w:tc>
        <w:tc>
          <w:tcPr>
            <w:tcW w:type="dxa" w:w="5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boolean</w:t>
            </w:r>
          </w:p>
        </w:tc>
      </w:tr>
      <w:tr>
        <w:tc>
          <w:tcPr>
            <w:tcW w:type="dxa" w:w="4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status</w:t>
            </w:r>
          </w:p>
        </w:tc>
        <w:tc>
          <w:tcPr>
            <w:tcW w:type="dxa" w:w="5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"Processing" / "Pending Review" / "Open" / "In Progress" / "Resolved"</w:t>
            </w:r>
          </w:p>
        </w:tc>
      </w:tr>
      <w:tr>
        <w:tc>
          <w:tcPr>
            <w:tcW w:type="dxa" w:w="4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assigned_to, resolution_notes, resolved_at</w:t>
            </w:r>
          </w:p>
        </w:tc>
        <w:tc>
          <w:tcPr>
            <w:tcW w:type="dxa" w:w="52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string or null</w:t>
            </w:r>
          </w:p>
        </w:tc>
      </w:tr>
    </w:tbl>
    <w:p>
      <w:pPr>
        <w:pBdr>
          <w:bottom w:val="single" w:color="000000" w:sz="6" w:space="4"/>
        </w:pBdr>
        <w:spacing w:after="140" w:before="300"/>
      </w:pPr>
      <w:r>
        <w:rPr>
          <w:b/>
          <w:bCs/>
          <w:color w:val="000000"/>
          <w:sz w:val="28"/>
          <w:szCs w:val="28"/>
        </w:rPr>
        <w:t xml:space="preserve">4. API Contract — Backend (Anshpreet) to Dashboard (Diego)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rPr>
          <w:tblHeader/>
        </w:trPr>
        <w:tc>
          <w:tcPr>
            <w:tcW w:type="dxa" w:w="46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bCs/>
                <w:color w:val="000000"/>
                <w:sz w:val="20"/>
                <w:szCs w:val="20"/>
              </w:rPr>
              <w:t xml:space="preserve">Endpoint</w:t>
            </w:r>
          </w:p>
        </w:tc>
        <w:tc>
          <w:tcPr>
            <w:tcW w:type="dxa" w:w="48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bCs/>
                <w:color w:val="000000"/>
                <w:sz w:val="20"/>
                <w:szCs w:val="20"/>
              </w:rPr>
              <w:t xml:space="preserve">Purpose</w:t>
            </w:r>
          </w:p>
        </w:tc>
      </w:tr>
      <w:tr>
        <w:tc>
          <w:tcPr>
            <w:tcW w:type="dxa" w:w="46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GET /api/tickets?status=&amp;from=&amp;to=</w:t>
            </w:r>
          </w:p>
        </w:tc>
        <w:tc>
          <w:tcPr>
            <w:tcW w:type="dxa" w:w="48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List tickets, with optional filters</w:t>
            </w:r>
          </w:p>
        </w:tc>
      </w:tr>
      <w:tr>
        <w:tc>
          <w:tcPr>
            <w:tcW w:type="dxa" w:w="46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GET /api/tickets/{ticket_id}</w:t>
            </w:r>
          </w:p>
        </w:tc>
        <w:tc>
          <w:tcPr>
            <w:tcW w:type="dxa" w:w="48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Full detail for one ticket</w:t>
            </w:r>
          </w:p>
        </w:tc>
      </w:tr>
      <w:tr>
        <w:tc>
          <w:tcPr>
            <w:tcW w:type="dxa" w:w="46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PATCH /api/tickets/{ticket_id}</w:t>
            </w:r>
          </w:p>
        </w:tc>
        <w:tc>
          <w:tcPr>
            <w:tcW w:type="dxa" w:w="4800"/>
            <w:tcBorders>
              <w:top w:val="single" w:color="808080" w:sz="4"/>
              <w:left w:val="single" w:color="808080" w:sz="4"/>
              <w:bottom w:val="single" w:color="808080" w:sz="4"/>
              <w:right w:val="single" w:color="808080" w:sz="4"/>
            </w:tcBorders>
            <w:tcMar>
              <w:top w:type="dxa" w:w="90"/>
              <w:left w:type="dxa" w:w="120"/>
              <w:bottom w:type="dxa" w:w="90"/>
              <w:right w:type="dxa" w:w="120"/>
            </w:tcMar>
            <w:vAlign w:val="center"/>
          </w:tcPr>
          <w:p>
            <w:r>
              <w:rPr>
                <w:b w:val="false"/>
                <w:bCs w:val="false"/>
                <w:color w:val="000000"/>
                <w:sz w:val="20"/>
                <w:szCs w:val="20"/>
              </w:rPr>
              <w:t xml:space="preserve">Update status/fields on approve, edit, or reject</w:t>
            </w:r>
          </w:p>
        </w:tc>
      </w:tr>
    </w:tbl>
    <w:p>
      <w:pPr>
        <w:pBdr>
          <w:bottom w:val="single" w:color="000000" w:sz="6" w:space="4"/>
        </w:pBdr>
        <w:spacing w:after="140" w:before="300"/>
      </w:pPr>
      <w:r>
        <w:rPr>
          <w:b/>
          <w:bCs/>
          <w:color w:val="000000"/>
          <w:sz w:val="28"/>
          <w:szCs w:val="28"/>
        </w:rPr>
        <w:t xml:space="preserve">5. Other Locked Conventions</w:t>
      </w:r>
    </w:p>
    <w:p>
      <w:pPr>
        <w:pStyle w:val="ListParagraph"/>
        <w:numPr>
          <w:ilvl w:val="0"/>
          <w:numId w:val="2"/>
        </w:numPr>
        <w:spacing w:after="70"/>
      </w:pPr>
      <w:r>
        <w:rPr>
          <w:color w:val="000000"/>
          <w:sz w:val="22"/>
          <w:szCs w:val="22"/>
        </w:rPr>
        <w:t xml:space="preserve">Timestamps: ISO 8601, UTC, always -- no local timezone strings anywhere in the system.</w:t>
      </w:r>
    </w:p>
    <w:p>
      <w:pPr>
        <w:pStyle w:val="ListParagraph"/>
        <w:numPr>
          <w:ilvl w:val="0"/>
          <w:numId w:val="2"/>
        </w:numPr>
        <w:spacing w:after="70"/>
      </w:pPr>
      <w:r>
        <w:rPr>
          <w:color w:val="000000"/>
          <w:sz w:val="22"/>
          <w:szCs w:val="22"/>
        </w:rPr>
        <w:t xml:space="preserve">Status strings: exactly as spelled in Section 3, case-sensitive. No one improvises "pending" instead of "Pending Review".</w:t>
      </w:r>
    </w:p>
    <w:p>
      <w:pPr>
        <w:pStyle w:val="ListParagraph"/>
        <w:numPr>
          <w:ilvl w:val="0"/>
          <w:numId w:val="2"/>
        </w:numPr>
        <w:spacing w:after="70"/>
      </w:pPr>
      <w:r>
        <w:rPr>
          <w:color w:val="000000"/>
          <w:sz w:val="22"/>
          <w:szCs w:val="22"/>
        </w:rPr>
        <w:t xml:space="preserve">Audio format: WAV, mono, 16kHz -- keeps Vosk accurate and file sizes reasonable.</w:t>
      </w:r>
    </w:p>
    <w:p>
      <w:pPr>
        <w:pStyle w:val="ListParagraph"/>
        <w:numPr>
          <w:ilvl w:val="0"/>
          <w:numId w:val="2"/>
        </w:numPr>
        <w:spacing w:after="70"/>
      </w:pPr>
      <w:r>
        <w:rPr>
          <w:color w:val="000000"/>
          <w:sz w:val="22"/>
          <w:szCs w:val="22"/>
        </w:rPr>
        <w:t xml:space="preserve">Device ID convention: lowercase, hyphenated (e.g. station-01).</w:t>
      </w:r>
    </w:p>
    <w:p>
      <w:pPr>
        <w:pStyle w:val="ListParagraph"/>
        <w:numPr>
          <w:ilvl w:val="0"/>
          <w:numId w:val="2"/>
        </w:numPr>
        <w:spacing w:after="70"/>
      </w:pPr>
      <w:r>
        <w:rPr>
          <w:color w:val="000000"/>
          <w:sz w:val="22"/>
          <w:szCs w:val="22"/>
        </w:rPr>
        <w:t xml:space="preserve">Secrets: device key and all Azure connection strings live in Key Vault or App Settings -- never hardcoded, never committed to GitHub.</w:t>
      </w:r>
    </w:p>
    <w:p>
      <w:pPr>
        <w:pBdr>
          <w:bottom w:val="single" w:color="000000" w:sz="6" w:space="4"/>
        </w:pBdr>
        <w:spacing w:after="140" w:before="300"/>
      </w:pPr>
      <w:r>
        <w:rPr>
          <w:b/>
          <w:bCs/>
          <w:color w:val="000000"/>
          <w:sz w:val="28"/>
          <w:szCs w:val="28"/>
        </w:rPr>
        <w:t xml:space="preserve">Change Process</w:t>
      </w:r>
    </w:p>
    <w:p>
      <w:pPr>
        <w:spacing w:after="120"/>
      </w:pPr>
      <w:r>
        <w:rPr>
          <w:color w:val="000000"/>
          <w:sz w:val="22"/>
          <w:szCs w:val="22"/>
        </w:rPr>
        <w:t xml:space="preserve">If any of these need to change once building is underway, post it to the group first and get a quick thumbs-up before changing your code -- a silent change on one side is the most common way integration breaks late in the project.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2026-08-05T23:40:31.650Z</dcterms:created>
  <dcterms:modified xsi:type="dcterms:W3CDTF">2026-08-05T23:40:31.675Z</dcterms:modified>
</cp:coreProperties>
</file>

<file path=docProps/custom.xml><?xml version="1.0" encoding="utf-8"?>
<Properties xmlns="http://schemas.openxmlformats.org/officeDocument/2006/custom-properties" xmlns:vt="http://schemas.openxmlformats.org/officeDocument/2006/docPropsVTypes"/>
</file>