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LOW LEVEL DESIGN</w:t>
      </w:r>
    </w:p>
    <w:p>
      <w:pPr>
        <w:pBdr>
          <w:bottom w:val="single" w:color="2E75B6" w:sz="12"/>
        </w:pBdr>
        <w:spacing w:after="100" w:before="0"/>
        <w:jc w:val="center"/>
      </w:pPr>
      <w:r>
        <w:rPr>
          <w:rFonts w:ascii="Arial" w:cs="Arial" w:eastAsia="Arial" w:hAnsi="Arial"/>
          <w:color w:val="2E75B6"/>
          <w:sz w:val="34"/>
          <w:szCs w:val="34"/>
        </w:rPr>
        <w:t xml:space="preserve">SIMBA — GNN+Transformer RCA Pipeline for 5G RAN</w:t>
      </w:r>
    </w:p>
    <w:p>
      <w:pPr>
        <w:spacing w:after="0" w:before="300"/>
      </w:pPr>
      <w:r>
        <w:t xml:space="preserve"/>
      </w:r>
    </w:p>
    <w:p>
      <w:pPr>
        <w:jc w:val="center"/>
      </w:pPr>
      <w:r>
        <w:rPr>
          <w:rFonts w:ascii="Arial" w:cs="Arial" w:eastAsia="Arial" w:hAnsi="Arial"/>
          <w:color w:val="555555"/>
          <w:sz w:val="22"/>
          <w:szCs w:val="22"/>
        </w:rPr>
        <w:t xml:space="preserve">Based on arXiv:2406.15638 (Hasan et al., 2024)  |  3GPP eMBB-Urban</w:t>
      </w:r>
    </w:p>
    <w:p>
      <w:pPr>
        <w:spacing w:after="0" w:before="5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80"/>
            </w:tcMar>
          </w:tcPr>
          <w:p>
            <w:r>
              <w:rPr>
                <w:rFonts w:ascii="Arial" w:cs="Arial" w:eastAsia="Arial" w:hAnsi="Arial"/>
                <w:b/>
                <w:bCs/>
                <w:color w:val="1F4E79"/>
                <w:sz w:val="20"/>
                <w:szCs w:val="20"/>
              </w:rPr>
              <w:t xml:space="preserve">ML Architecture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GSL + GCN + Transformer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F4E79"/>
                <w:sz w:val="20"/>
                <w:szCs w:val="20"/>
              </w:rPr>
              <w:t xml:space="preserve">Task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Anomaly Detection + Root Cause Analysis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80"/>
            </w:tcMar>
          </w:tcPr>
          <w:p>
            <w:r>
              <w:rPr>
                <w:rFonts w:ascii="Arial" w:cs="Arial" w:eastAsia="Arial" w:hAnsi="Arial"/>
                <w:b/>
                <w:bCs/>
                <w:color w:val="1F4E79"/>
                <w:sz w:val="20"/>
                <w:szCs w:val="20"/>
              </w:rPr>
              <w:t xml:space="preserve">Network Domain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0"/>
                <w:szCs w:val="20"/>
              </w:rPr>
              <w:t xml:space="preserve">5G RAN (extensible to IP, Optical, Compute)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b/>
                <w:bCs/>
                <w:color w:val="1F4E79"/>
                <w:sz w:val="20"/>
                <w:szCs w:val="20"/>
              </w:rPr>
              <w:t xml:space="preserve">Input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sz w:val="20"/>
                <w:szCs w:val="20"/>
              </w:rPr>
              <w:t xml:space="preserve">KPI time series (9 KPIs × N cells × T seconds)</w:t>
            </w:r>
          </w:p>
        </w:tc>
      </w:tr>
    </w:tbl>
    <w:p>
      <w:r>
        <w:br w:type="page"/>
      </w:r>
    </w:p>
    <w:p>
      <w:pPr>
        <w:pStyle w:val="Heading1"/>
        <w:spacing w:after="120" w:before="360"/>
      </w:pPr>
      <w:r>
        <w:rPr>
          <w:rFonts w:ascii="Arial" w:cs="Arial" w:eastAsia="Arial" w:hAnsi="Arial"/>
          <w:b/>
          <w:bCs/>
          <w:color w:val="1F4E79"/>
          <w:sz w:val="36"/>
          <w:szCs w:val="36"/>
        </w:rPr>
        <w:t xml:space="preserve">1.  Purpose and Scope</w:t>
      </w:r>
    </w:p>
    <w:p>
      <w:pPr>
        <w:spacing w:after="60" w:before="60"/>
      </w:pPr>
      <w:r>
        <w:rPr>
          <w:rFonts w:ascii="Arial" w:cs="Arial" w:eastAsia="Arial" w:hAnsi="Arial"/>
          <w:b w:val="false"/>
          <w:bCs w:val="false"/>
          <w:color w:val="000000"/>
          <w:sz w:val="22"/>
          <w:szCs w:val="22"/>
        </w:rPr>
        <w:t xml:space="preserve">This document describes the Low Level Design of the SIMBA pipeline — a spatio-temporal machine learning system for anomaly detection and root cause analysis in 5G Radio Access Networks. The design follows the architecture proposed in arXiv:2406.15638 (Hasan et al., 2024), combining Graph Neural Networks for spatial dependency modelling with a Transformer for temporal dependency modelling.</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1.1  Problem Statement</w:t>
      </w:r>
    </w:p>
    <w:p>
      <w:pPr>
        <w:spacing w:after="60" w:before="60"/>
      </w:pPr>
      <w:r>
        <w:rPr>
          <w:rFonts w:ascii="Arial" w:cs="Arial" w:eastAsia="Arial" w:hAnsi="Arial"/>
          <w:b w:val="false"/>
          <w:bCs w:val="false"/>
          <w:color w:val="000000"/>
          <w:sz w:val="22"/>
          <w:szCs w:val="22"/>
        </w:rPr>
        <w:t xml:space="preserve">5G RANs generate dense KPI streams from hundreds of cells. Two classes of faults are most impactful:</w:t>
      </w:r>
    </w:p>
    <w:p>
      <w:pPr>
        <w:pStyle w:val="ListParagraph"/>
        <w:numPr>
          <w:ilvl w:val="0"/>
          <w:numId w:val="2"/>
        </w:numPr>
        <w:spacing w:after="40" w:before="40"/>
      </w:pPr>
      <w:r>
        <w:rPr>
          <w:rFonts w:ascii="Arial" w:cs="Arial" w:eastAsia="Arial" w:hAnsi="Arial"/>
          <w:sz w:val="21"/>
          <w:szCs w:val="21"/>
        </w:rPr>
        <w:t xml:space="preserve">Excessive power reduction — TX power is dropped (hardware fault, SON misconfiguration), causing RSRP, SINR, and throughput to degrade across the affected cell and its neighbours</w:t>
      </w:r>
    </w:p>
    <w:p>
      <w:pPr>
        <w:pStyle w:val="ListParagraph"/>
        <w:numPr>
          <w:ilvl w:val="0"/>
          <w:numId w:val="2"/>
        </w:numPr>
        <w:spacing w:after="40" w:before="40"/>
      </w:pPr>
      <w:r>
        <w:rPr>
          <w:rFonts w:ascii="Arial" w:cs="Arial" w:eastAsia="Arial" w:hAnsi="Arial"/>
          <w:sz w:val="21"/>
          <w:szCs w:val="21"/>
        </w:rPr>
        <w:t xml:space="preserve">Interference — an external or internal interference source raises the noise floor, causing SINR and BLER to spike while throughput collapses</w:t>
      </w:r>
    </w:p>
    <w:p>
      <w:pPr>
        <w:spacing w:after="0" w:before="60"/>
      </w:pPr>
      <w:r>
        <w:t xml:space="preserve"/>
      </w:r>
    </w:p>
    <w:p>
      <w:pPr>
        <w:spacing w:after="60" w:before="60"/>
      </w:pPr>
      <w:r>
        <w:rPr>
          <w:rFonts w:ascii="Arial" w:cs="Arial" w:eastAsia="Arial" w:hAnsi="Arial"/>
          <w:b w:val="false"/>
          <w:bCs w:val="false"/>
          <w:color w:val="000000"/>
          <w:sz w:val="22"/>
          <w:szCs w:val="22"/>
        </w:rPr>
        <w:t xml:space="preserve">Existing approaches have two limitations addressed by SIMBA:</w:t>
      </w:r>
    </w:p>
    <w:p>
      <w:pPr>
        <w:pStyle w:val="ListParagraph"/>
        <w:numPr>
          <w:ilvl w:val="0"/>
          <w:numId w:val="2"/>
        </w:numPr>
        <w:spacing w:after="40" w:before="40"/>
      </w:pPr>
      <w:r>
        <w:rPr>
          <w:rFonts w:ascii="Arial" w:cs="Arial" w:eastAsia="Arial" w:hAnsi="Arial"/>
          <w:sz w:val="21"/>
          <w:szCs w:val="21"/>
        </w:rPr>
        <w:t xml:space="preserve">Spatial-only models (GNN without Transformer) cannot capture how a fault evolves temporally — a gradual power reduction looks different from a sudden hardware failure</w:t>
      </w:r>
    </w:p>
    <w:p>
      <w:pPr>
        <w:pStyle w:val="ListParagraph"/>
        <w:numPr>
          <w:ilvl w:val="0"/>
          <w:numId w:val="2"/>
        </w:numPr>
        <w:spacing w:after="40" w:before="40"/>
      </w:pPr>
      <w:r>
        <w:rPr>
          <w:rFonts w:ascii="Arial" w:cs="Arial" w:eastAsia="Arial" w:hAnsi="Arial"/>
          <w:sz w:val="21"/>
          <w:szCs w:val="21"/>
        </w:rPr>
        <w:t xml:space="preserve">Temporal-only models (LSTM, vanilla Transformer) treat each cell independently and miss the propagation of interference across geographically adjacent cells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1.2  Solution</w:t>
      </w:r>
    </w:p>
    <w:p>
      <w:pPr>
        <w:spacing w:after="60" w:before="60"/>
      </w:pPr>
      <w:r>
        <w:rPr>
          <w:rFonts w:ascii="Arial" w:cs="Arial" w:eastAsia="Arial" w:hAnsi="Arial"/>
          <w:b w:val="false"/>
          <w:bCs w:val="false"/>
          <w:color w:val="000000"/>
          <w:sz w:val="22"/>
          <w:szCs w:val="22"/>
        </w:rPr>
        <w:t xml:space="preserve">SIMBA combines both dimensions. The Graph Structure Learning module learns which cells influence each other from the data itself (not just from physical proximity). The GCN captures those spatial correlations. The Transformer captures the temporal evolution of each cell's KPI sequence. A fusion head combines both embeddings and outputs per-cell class probabilities.</w:t>
      </w:r>
    </w:p>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2.  System Architecture</w:t>
      </w:r>
    </w:p>
    <w:p>
      <w:pPr>
        <w:pStyle w:val="Heading2"/>
        <w:spacing w:after="100" w:before="280"/>
      </w:pPr>
      <w:r>
        <w:rPr>
          <w:rFonts w:ascii="Arial" w:cs="Arial" w:eastAsia="Arial" w:hAnsi="Arial"/>
          <w:b/>
          <w:bCs/>
          <w:color w:val="2E75B6"/>
          <w:sz w:val="28"/>
          <w:szCs w:val="28"/>
        </w:rPr>
        <w:t xml:space="preserve">2.1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200"/>
        <w:gridCol w:w="3280"/>
      </w:tblGrid>
      <w:tr>
        <w:trPr>
          <w:tblHeader/>
        </w:trPr>
        <w:tc>
          <w:tcPr>
            <w:tcW w:type="dxa" w:w="48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Stage</w:t>
            </w:r>
          </w:p>
        </w:tc>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Input</w:t>
            </w:r>
          </w:p>
        </w:tc>
        <w:tc>
          <w:tcPr>
            <w:tcW w:type="dxa" w:w="3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Output</w:t>
            </w:r>
          </w:p>
        </w:tc>
        <w:tc>
          <w:tcPr>
            <w:tcW w:type="dxa" w:w="328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Module</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1. KPI Ingestion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Raw vendor PM data (NMS/Kafka/REST)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Normalised (n_cells, n_kpis) snapshot per second</w:t>
            </w:r>
          </w:p>
        </w:tc>
        <w:tc>
          <w:tcPr>
            <w:tcW w:type="dxa" w:w="3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KafkaKPIAdapter / RESTKPIAdapter</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2. Windowing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Stream of KPI snapshots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(window_size, n_cells, n_kpis) tensor</w:t>
            </w:r>
          </w:p>
        </w:tc>
        <w:tc>
          <w:tcPr>
            <w:tcW w:type="dxa" w:w="32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SlidingWindowBuffer</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3. Normalisation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Raw KPI window</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Min-max normalised window ∈ [0,1]</w:t>
            </w:r>
          </w:p>
        </w:tc>
        <w:tc>
          <w:tcPr>
            <w:tcW w:type="dxa" w:w="3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KPINormalizer</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4. Graph Learning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Node embeddings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Soft adjacency matrix (n_cells, n_cells)</w:t>
            </w:r>
          </w:p>
        </w:tc>
        <w:tc>
          <w:tcPr>
            <w:tcW w:type="dxa" w:w="32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GraphStructureLearning</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5. Spatial Encoding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KPI window + adjacency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Spatial embedding (n_cells, gcn_output_dim)</w:t>
            </w:r>
          </w:p>
        </w:tc>
        <w:tc>
          <w:tcPr>
            <w:tcW w:type="dxa" w:w="3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GraphConvolutionModule</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6. Temporal Encoding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KPI window per cell</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Temporal embedding (n_cells, temporal_dim)</w:t>
            </w:r>
          </w:p>
        </w:tc>
        <w:tc>
          <w:tcPr>
            <w:tcW w:type="dxa" w:w="32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TransformerBranch</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7. Fusion + RCA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Spatial + temporal embeddings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Class logits (n_cells, 3)</w:t>
            </w:r>
          </w:p>
        </w:tc>
        <w:tc>
          <w:tcPr>
            <w:tcW w:type="dxa" w:w="3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Fusion FFN</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8. Output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Class logits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Per-cell: fault_type, confidence, repair_action</w:t>
            </w:r>
          </w:p>
        </w:tc>
        <w:tc>
          <w:tcPr>
            <w:tcW w:type="dxa" w:w="32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SimbaInferenceEngine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2.2  SIMBA Model Architecture Detail</w:t>
      </w:r>
    </w:p>
    <w:p>
      <w:pPr>
        <w:pStyle w:val="Heading3"/>
        <w:spacing w:after="80" w:before="220"/>
      </w:pPr>
      <w:r>
        <w:rPr>
          <w:rFonts w:ascii="Arial" w:cs="Arial" w:eastAsia="Arial" w:hAnsi="Arial"/>
          <w:b/>
          <w:bCs/>
          <w:color w:val="000000"/>
          <w:sz w:val="24"/>
          <w:szCs w:val="24"/>
        </w:rPr>
        <w:t xml:space="preserve">2.2.1  Graph Structure Learning (GSL)</w:t>
      </w:r>
    </w:p>
    <w:p>
      <w:pPr>
        <w:spacing w:after="60" w:before="60"/>
      </w:pPr>
      <w:r>
        <w:rPr>
          <w:rFonts w:ascii="Arial" w:cs="Arial" w:eastAsia="Arial" w:hAnsi="Arial"/>
          <w:b w:val="false"/>
          <w:bCs w:val="false"/>
          <w:color w:val="000000"/>
          <w:sz w:val="22"/>
          <w:szCs w:val="22"/>
        </w:rPr>
        <w:t xml:space="preserve">The GSL module learns a soft adjacency matrix from node embeddings rather than relying solely on physical topology. This is critical because real interference patterns do not always follow physical proximity — they can be frequency-dependent, time-varying, and influenced by building morphology.</w:t>
      </w:r>
    </w:p>
    <w:p>
      <w:pPr>
        <w:spacing w:after="0" w:before="60"/>
      </w:pPr>
      <w:r>
        <w:t xml:space="preserve"/>
      </w:r>
    </w:p>
    <w:p>
      <w:pPr>
        <w:spacing w:after="60" w:before="60"/>
      </w:pPr>
      <w:r>
        <w:rPr>
          <w:rFonts w:ascii="Arial" w:cs="Arial" w:eastAsia="Arial" w:hAnsi="Arial"/>
          <w:b w:val="false"/>
          <w:bCs w:val="false"/>
          <w:color w:val="000000"/>
          <w:sz w:val="22"/>
          <w:szCs w:val="22"/>
        </w:rPr>
        <w:t xml:space="preserve">The module maintains two sets of learnable node embeddings (e1, e2), each of dimension embed_dim. The adjacency is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A = softmax( tanh(α * proj1(e1)) · tanh(α * proj2(e2))^T )</w:t>
            </w:r>
          </w:p>
        </w:tc>
      </w:tr>
    </w:tbl>
    <w:p>
      <w:pPr>
        <w:spacing w:after="0" w:before="60"/>
      </w:pPr>
      <w:r>
        <w:t xml:space="preserve"/>
      </w:r>
    </w:p>
    <w:p>
      <w:pPr>
        <w:spacing w:after="60" w:before="60"/>
      </w:pPr>
      <w:r>
        <w:rPr>
          <w:rFonts w:ascii="Arial" w:cs="Arial" w:eastAsia="Arial" w:hAnsi="Arial"/>
          <w:b w:val="false"/>
          <w:bCs w:val="false"/>
          <w:color w:val="000000"/>
          <w:sz w:val="22"/>
          <w:szCs w:val="22"/>
        </w:rPr>
        <w:t xml:space="preserve">Top-K sparsification retains only the top_k strongest connections per node, preventing over-smoothing. The learned adjacency is optionally fused with a physical topology prior (from NETCONF/TMF639 discovery) using a configurable weight parameter.</w:t>
      </w:r>
    </w:p>
    <w:p>
      <w:pPr>
        <w:spacing w:after="0" w:before="80"/>
      </w:pPr>
      <w:r>
        <w:t xml:space="preserve"/>
      </w:r>
    </w:p>
    <w:p>
      <w:pPr>
        <w:pStyle w:val="Heading3"/>
        <w:spacing w:after="80" w:before="220"/>
      </w:pPr>
      <w:r>
        <w:rPr>
          <w:rFonts w:ascii="Arial" w:cs="Arial" w:eastAsia="Arial" w:hAnsi="Arial"/>
          <w:b/>
          <w:bCs/>
          <w:color w:val="000000"/>
          <w:sz w:val="24"/>
          <w:szCs w:val="24"/>
        </w:rPr>
        <w:t xml:space="preserve">2.2.2  Graph Convolution Module (GCN)</w:t>
      </w:r>
    </w:p>
    <w:p>
      <w:pPr>
        <w:spacing w:after="60" w:before="60"/>
      </w:pPr>
      <w:r>
        <w:rPr>
          <w:rFonts w:ascii="Arial" w:cs="Arial" w:eastAsia="Arial" w:hAnsi="Arial"/>
          <w:b w:val="false"/>
          <w:bCs w:val="false"/>
          <w:color w:val="000000"/>
          <w:sz w:val="22"/>
          <w:szCs w:val="22"/>
        </w:rPr>
        <w:t xml:space="preserve">The GCN module generates spatial feature embeddings using the learned adjacency matrix. It applies stacked GCN layers with residual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H_0 = ReLU( input_proj(X.mean(T)) )  -- average pool over time first</w:t>
            </w:r>
          </w:p>
          <w:p>
            <w:pPr>
              <w:spacing w:after="0" w:before="0"/>
            </w:pPr>
            <w:r>
              <w:rPr>
                <w:rFonts w:ascii="Courier New" w:cs="Courier New" w:eastAsia="Courier New" w:hAnsi="Courier New"/>
                <w:color w:val="1A1A1A"/>
                <w:sz w:val="18"/>
                <w:szCs w:val="18"/>
              </w:rPr>
              <w:t xml:space="preserve">H_1 = ReLU( BN( A · H_0 · W_1 ) ) + H_0  -- residual</w:t>
            </w:r>
          </w:p>
          <w:p>
            <w:pPr>
              <w:spacing w:after="0" w:before="0"/>
            </w:pPr>
            <w:r>
              <w:rPr>
                <w:rFonts w:ascii="Courier New" w:cs="Courier New" w:eastAsia="Courier New" w:hAnsi="Courier New"/>
                <w:color w:val="1A1A1A"/>
                <w:sz w:val="18"/>
                <w:szCs w:val="18"/>
              </w:rPr>
              <w:t xml:space="preserve">H_2 = ReLU( BN( A · H_1 · W_2 ) ) + H_1  -- residual (if n_layers=2)</w:t>
            </w:r>
          </w:p>
        </w:tc>
      </w:tr>
    </w:tbl>
    <w:p>
      <w:pPr>
        <w:spacing w:after="0" w:before="60"/>
      </w:pPr>
      <w:r>
        <w:t xml:space="preserve"/>
      </w:r>
    </w:p>
    <w:p>
      <w:pPr>
        <w:spacing w:after="60" w:before="60"/>
      </w:pPr>
      <w:r>
        <w:rPr>
          <w:rFonts w:ascii="Arial" w:cs="Arial" w:eastAsia="Arial" w:hAnsi="Arial"/>
          <w:b w:val="false"/>
          <w:bCs w:val="false"/>
          <w:color w:val="000000"/>
          <w:sz w:val="22"/>
          <w:szCs w:val="22"/>
        </w:rPr>
        <w:t xml:space="preserve">Temporal average pooling before GCN is an efficiency choice — it reduces the sequence dimension before the expensive graph operation. The output is a per-cell spatial embedding of dimension gcn_output_dim.</w:t>
      </w:r>
    </w:p>
    <w:p>
      <w:pPr>
        <w:spacing w:after="0" w:before="80"/>
      </w:pPr>
      <w:r>
        <w:t xml:space="preserve"/>
      </w:r>
    </w:p>
    <w:p>
      <w:pPr>
        <w:pStyle w:val="Heading3"/>
        <w:spacing w:after="80" w:before="220"/>
      </w:pPr>
      <w:r>
        <w:rPr>
          <w:rFonts w:ascii="Arial" w:cs="Arial" w:eastAsia="Arial" w:hAnsi="Arial"/>
          <w:b/>
          <w:bCs/>
          <w:color w:val="000000"/>
          <w:sz w:val="24"/>
          <w:szCs w:val="24"/>
        </w:rPr>
        <w:t xml:space="preserve">2.2.3  Transformer Branch</w:t>
      </w:r>
    </w:p>
    <w:p>
      <w:pPr>
        <w:spacing w:after="60" w:before="60"/>
      </w:pPr>
      <w:r>
        <w:rPr>
          <w:rFonts w:ascii="Arial" w:cs="Arial" w:eastAsia="Arial" w:hAnsi="Arial"/>
          <w:b w:val="false"/>
          <w:bCs w:val="false"/>
          <w:color w:val="000000"/>
          <w:sz w:val="22"/>
          <w:szCs w:val="22"/>
        </w:rPr>
        <w:t xml:space="preserve">The Transformer branch captures temporal dependencies independently for each cell. It processes all n_cells sequences in parallel by reshaping: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x: (batch, window, n_cells, n_kpis)</w:t>
            </w:r>
          </w:p>
          <w:p>
            <w:pPr>
              <w:spacing w:after="0" w:before="0"/>
            </w:pPr>
            <w:r>
              <w:rPr>
                <w:rFonts w:ascii="Courier New" w:cs="Courier New" w:eastAsia="Courier New" w:hAnsi="Courier New"/>
                <w:color w:val="1A1A1A"/>
                <w:sz w:val="18"/>
                <w:szCs w:val="18"/>
              </w:rPr>
              <w:t xml:space="preserve">→ reshape: (batch × n_cells, window, n_kpis)   -- each cell is a sequence</w:t>
            </w:r>
          </w:p>
          <w:p>
            <w:pPr>
              <w:spacing w:after="0" w:before="0"/>
            </w:pPr>
            <w:r>
              <w:rPr>
                <w:rFonts w:ascii="Courier New" w:cs="Courier New" w:eastAsia="Courier New" w:hAnsi="Courier New"/>
                <w:color w:val="1A1A1A"/>
                <w:sz w:val="18"/>
                <w:szCs w:val="18"/>
              </w:rPr>
              <w:t xml:space="preserve">→ input_proj: (B×N, T, temporal_dim)</w:t>
            </w:r>
          </w:p>
          <w:p>
            <w:pPr>
              <w:spacing w:after="0" w:before="0"/>
            </w:pPr>
            <w:r>
              <w:rPr>
                <w:rFonts w:ascii="Courier New" w:cs="Courier New" w:eastAsia="Courier New" w:hAnsi="Courier New"/>
                <w:color w:val="1A1A1A"/>
                <w:sz w:val="18"/>
                <w:szCs w:val="18"/>
              </w:rPr>
              <w:t xml:space="preserve">→ positional_encoding: sinusoidal (standard)</w:t>
            </w:r>
          </w:p>
          <w:p>
            <w:pPr>
              <w:spacing w:after="0" w:before="0"/>
            </w:pPr>
            <w:r>
              <w:rPr>
                <w:rFonts w:ascii="Courier New" w:cs="Courier New" w:eastAsia="Courier New" w:hAnsi="Courier New"/>
                <w:color w:val="1A1A1A"/>
                <w:sz w:val="18"/>
                <w:szCs w:val="18"/>
              </w:rPr>
              <w:t xml:space="preserve">→ TransformerEncoder: n_layers × (MHSA + FFN + LayerNorm)</w:t>
            </w:r>
          </w:p>
          <w:p>
            <w:pPr>
              <w:spacing w:after="0" w:before="0"/>
            </w:pPr>
            <w:r>
              <w:rPr>
                <w:rFonts w:ascii="Courier New" w:cs="Courier New" w:eastAsia="Courier New" w:hAnsi="Courier New"/>
                <w:color w:val="1A1A1A"/>
                <w:sz w:val="18"/>
                <w:szCs w:val="18"/>
              </w:rPr>
              <w:t xml:space="preserve">→ pool last timestep: (B×N, temporal_dim)</w:t>
            </w:r>
          </w:p>
          <w:p>
            <w:pPr>
              <w:spacing w:after="0" w:before="0"/>
            </w:pPr>
            <w:r>
              <w:rPr>
                <w:rFonts w:ascii="Courier New" w:cs="Courier New" w:eastAsia="Courier New" w:hAnsi="Courier New"/>
                <w:color w:val="1A1A1A"/>
                <w:sz w:val="18"/>
                <w:szCs w:val="18"/>
              </w:rPr>
              <w:t xml:space="preserve">→ reshape: (batch, n_cells, temporal_dim)</w:t>
            </w:r>
          </w:p>
        </w:tc>
      </w:tr>
    </w:tbl>
    <w:p>
      <w:pPr>
        <w:spacing w:after="0" w:before="60"/>
      </w:pPr>
      <w:r>
        <w:t xml:space="preserve"/>
      </w:r>
    </w:p>
    <w:p>
      <w:pPr>
        <w:spacing w:after="60" w:before="60"/>
      </w:pPr>
      <w:r>
        <w:rPr>
          <w:rFonts w:ascii="Arial" w:cs="Arial" w:eastAsia="Arial" w:hAnsi="Arial"/>
          <w:b w:val="false"/>
          <w:bCs w:val="false"/>
          <w:color w:val="000000"/>
          <w:sz w:val="22"/>
          <w:szCs w:val="22"/>
        </w:rPr>
        <w:t xml:space="preserve">Pre-LN (norm_first=True) is used for training stability with deeper Transformers. The Transformer operates with n_heads multi-head attention heads and a feed-forward dimension of ff_dim.</w:t>
      </w:r>
    </w:p>
    <w:p>
      <w:pPr>
        <w:spacing w:after="0" w:before="80"/>
      </w:pPr>
      <w:r>
        <w:t xml:space="preserve"/>
      </w:r>
    </w:p>
    <w:p>
      <w:pPr>
        <w:pStyle w:val="Heading3"/>
        <w:spacing w:after="80" w:before="220"/>
      </w:pPr>
      <w:r>
        <w:rPr>
          <w:rFonts w:ascii="Arial" w:cs="Arial" w:eastAsia="Arial" w:hAnsi="Arial"/>
          <w:b/>
          <w:bCs/>
          <w:color w:val="000000"/>
          <w:sz w:val="24"/>
          <w:szCs w:val="24"/>
        </w:rPr>
        <w:t xml:space="preserve">2.2.4  Fusion Head</w:t>
      </w:r>
    </w:p>
    <w:p>
      <w:pPr>
        <w:spacing w:after="60" w:before="60"/>
      </w:pPr>
      <w:r>
        <w:rPr>
          <w:rFonts w:ascii="Arial" w:cs="Arial" w:eastAsia="Arial" w:hAnsi="Arial"/>
          <w:b w:val="false"/>
          <w:bCs w:val="false"/>
          <w:color w:val="000000"/>
          <w:sz w:val="22"/>
          <w:szCs w:val="22"/>
        </w:rPr>
        <w:t xml:space="preserve">The fusion head concatenates the spatial and temporal embeddings and passes them through a 3-layer feed-forward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fused = concat([spatial_emb, temporal_emb], dim=-1)  -- (B, N, gcn_out+temp_dim)</w:t>
            </w:r>
          </w:p>
          <w:p>
            <w:pPr>
              <w:spacing w:after="0" w:before="0"/>
            </w:pPr>
            <w:r>
              <w:rPr>
                <w:rFonts w:ascii="Courier New" w:cs="Courier New" w:eastAsia="Courier New" w:hAnsi="Courier New"/>
                <w:color w:val="1A1A1A"/>
                <w:sz w:val="18"/>
                <w:szCs w:val="18"/>
              </w:rPr>
              <w:t xml:space="preserve">→ Linear(fused_dim, fusion_hidden) + LayerNorm + GELU + Dropout</w:t>
            </w:r>
          </w:p>
          <w:p>
            <w:pPr>
              <w:spacing w:after="0" w:before="0"/>
            </w:pPr>
            <w:r>
              <w:rPr>
                <w:rFonts w:ascii="Courier New" w:cs="Courier New" w:eastAsia="Courier New" w:hAnsi="Courier New"/>
                <w:color w:val="1A1A1A"/>
                <w:sz w:val="18"/>
                <w:szCs w:val="18"/>
              </w:rPr>
              <w:t xml:space="preserve">→ Linear(fusion_hidden, fusion_hidden//2) + GELU + Dropout</w:t>
            </w:r>
          </w:p>
          <w:p>
            <w:pPr>
              <w:spacing w:after="0" w:before="0"/>
            </w:pPr>
            <w:r>
              <w:rPr>
                <w:rFonts w:ascii="Courier New" w:cs="Courier New" w:eastAsia="Courier New" w:hAnsi="Courier New"/>
                <w:color w:val="1A1A1A"/>
                <w:sz w:val="18"/>
                <w:szCs w:val="18"/>
              </w:rPr>
              <w:t xml:space="preserve">→ Linear(fusion_hidden//2, 3)  -- 3 classes: normal, power_red, interference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2.3  Model Hyperparameter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800"/>
        <w:gridCol w:w="3660"/>
      </w:tblGrid>
      <w:tr>
        <w:trPr>
          <w:tblHeader/>
        </w:trPr>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Parameter</w:t>
            </w:r>
          </w:p>
        </w:tc>
        <w:tc>
          <w:tcPr>
            <w:tcW w:type="dxa" w:w="9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Default</w:t>
            </w:r>
          </w:p>
        </w:tc>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Description</w:t>
            </w:r>
          </w:p>
        </w:tc>
        <w:tc>
          <w:tcPr>
            <w:tcW w:type="dxa" w:w="36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Tuning Guidance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gsl_embed_dim</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Node embedding dimension for GSL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Increase to 64 for larger networks (&gt;100 cells)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gsl_top_k</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Top-K connections kept per node</w:t>
            </w:r>
          </w:p>
        </w:tc>
        <w:tc>
          <w:tcPr>
            <w:tcW w:type="dxa" w:w="3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Set to ~30% of n_cells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prior_weight</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0.5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Weight of physical topology prior in GSL</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Increase to 0.7 for well-mapped networks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gcn_hidden</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64</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GCN hidden layer dimension</w:t>
            </w:r>
          </w:p>
        </w:tc>
        <w:tc>
          <w:tcPr>
            <w:tcW w:type="dxa" w:w="3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Match to temporal_dim for clean fusion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gcn_output</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64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GCN output dimension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Same as gcn_hidden unless bottleneck needed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gcn_layers</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Number of GCN layers</w:t>
            </w:r>
          </w:p>
        </w:tc>
        <w:tc>
          <w:tcPr>
            <w:tcW w:type="dxa" w:w="3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2 is optimal; 3 may over-smooth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temporal_dim</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64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Transformer model dimension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Must be divisible by n_heads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n_heads</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Multi-head attention heads</w:t>
            </w:r>
          </w:p>
        </w:tc>
        <w:tc>
          <w:tcPr>
            <w:tcW w:type="dxa" w:w="3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4 or 8; temporal_dim must be divisible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transformer_layers</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Transformer encoder layers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2 sufficient for 30-second windows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ff_dim</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128</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Transformer feed-forward dimension</w:t>
            </w:r>
          </w:p>
        </w:tc>
        <w:tc>
          <w:tcPr>
            <w:tcW w:type="dxa" w:w="3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Typically 2× temporal_dim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fusion_hidden</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128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Fusion FFN hidden dimension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Typically 2× (gcn_output + temporal_dim)</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dropout</w:t>
            </w:r>
          </w:p>
        </w:tc>
        <w:tc>
          <w:tcPr>
            <w:tcW w:type="dxa" w:w="9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0.1</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Dropout rate throughout</w:t>
            </w:r>
          </w:p>
        </w:tc>
        <w:tc>
          <w:tcPr>
            <w:tcW w:type="dxa" w:w="3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Increase to 0.2 if overfitting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window_size</w:t>
            </w:r>
          </w:p>
        </w:tc>
        <w:tc>
          <w:tcPr>
            <w:tcW w:type="dxa" w:w="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Input window in seconds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30s captures fault onset ramp</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3.  Data Pipeline</w:t>
      </w:r>
    </w:p>
    <w:p>
      <w:pPr>
        <w:pStyle w:val="Heading2"/>
        <w:spacing w:after="100" w:before="280"/>
      </w:pPr>
      <w:r>
        <w:rPr>
          <w:rFonts w:ascii="Arial" w:cs="Arial" w:eastAsia="Arial" w:hAnsi="Arial"/>
          <w:b/>
          <w:bCs/>
          <w:color w:val="2E75B6"/>
          <w:sz w:val="28"/>
          <w:szCs w:val="28"/>
        </w:rPr>
        <w:t xml:space="preserve">3.1  KPI Schema</w:t>
      </w:r>
    </w:p>
    <w:p>
      <w:pPr>
        <w:spacing w:after="60" w:before="60"/>
      </w:pPr>
      <w:r>
        <w:rPr>
          <w:rFonts w:ascii="Arial" w:cs="Arial" w:eastAsia="Arial" w:hAnsi="Arial"/>
          <w:b w:val="false"/>
          <w:bCs w:val="false"/>
          <w:color w:val="000000"/>
          <w:sz w:val="22"/>
          <w:szCs w:val="22"/>
        </w:rPr>
        <w:t xml:space="preserve">The system uses 9 KPIs per cell, aggregated to 1-second intervals, matching the Simu5G output schema used in the SIMBA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800"/>
        <w:gridCol w:w="1800"/>
        <w:gridCol w:w="4280"/>
      </w:tblGrid>
      <w:tr>
        <w:trPr>
          <w:tblHeader/>
        </w:trPr>
        <w:tc>
          <w:tcPr>
            <w:tcW w:type="dxa" w:w="48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Index</w:t>
            </w:r>
          </w:p>
        </w:tc>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KPI Name</w:t>
            </w:r>
          </w:p>
        </w:tc>
        <w:tc>
          <w:tcPr>
            <w:tcW w:type="dxa" w:w="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Unit</w:t>
            </w:r>
          </w:p>
        </w:tc>
        <w:tc>
          <w:tcPr>
            <w:tcW w:type="dxa" w:w="1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Normal Range</w:t>
            </w:r>
          </w:p>
        </w:tc>
        <w:tc>
          <w:tcPr>
            <w:tcW w:type="dxa" w:w="428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Fault Sensitivity</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rsrp_dbm</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dBm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-110 to -44</w:t>
            </w:r>
          </w:p>
        </w:tc>
        <w:tc>
          <w:tcPr>
            <w:tcW w:type="dxa" w:w="4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Power reduction: drops 15–25 dBm</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rsrq_db</w:t>
            </w:r>
          </w:p>
        </w:tc>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dB</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-20 to -3</w:t>
            </w:r>
          </w:p>
        </w:tc>
        <w:tc>
          <w:tcPr>
            <w:tcW w:type="dxa" w:w="42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Power reduction + interference: drops 3–8 dB</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sinr_db</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dB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-5 to 35</w:t>
            </w:r>
          </w:p>
        </w:tc>
        <w:tc>
          <w:tcPr>
            <w:tcW w:type="dxa" w:w="4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Interference: drops 15–30 dB (most sensitive)</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dl_throughput_mbps</w:t>
            </w:r>
          </w:p>
        </w:tc>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Mbps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0.1 to 300</w:t>
            </w:r>
          </w:p>
        </w:tc>
        <w:tc>
          <w:tcPr>
            <w:tcW w:type="dxa" w:w="42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Both faults: reduces by 60–85%</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ul_throughput_mbps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Mbps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0.1 to 100</w:t>
            </w:r>
          </w:p>
        </w:tc>
        <w:tc>
          <w:tcPr>
            <w:tcW w:type="dxa" w:w="4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Both faults: reduces by 60–75%</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dl_bler_pct</w:t>
            </w:r>
          </w:p>
        </w:tc>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0 to 10</w:t>
            </w:r>
          </w:p>
        </w:tc>
        <w:tc>
          <w:tcPr>
            <w:tcW w:type="dxa" w:w="42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Both faults: increases by 8–40%</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ul_bler_pct</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0 to 10</w:t>
            </w:r>
          </w:p>
        </w:tc>
        <w:tc>
          <w:tcPr>
            <w:tcW w:type="dxa" w:w="4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Both faults: increases by 6–30%</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connected_ues</w:t>
            </w:r>
          </w:p>
        </w:tc>
        <w:tc>
          <w:tcPr>
            <w:tcW w:type="dxa" w:w="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count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0 to 50</w:t>
            </w:r>
          </w:p>
        </w:tc>
        <w:tc>
          <w:tcPr>
            <w:tcW w:type="dxa" w:w="42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Power reduction: drops by 30–50%</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handover_rate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HO/s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0 to 5</w:t>
            </w:r>
          </w:p>
        </w:tc>
        <w:tc>
          <w:tcPr>
            <w:tcW w:type="dxa" w:w="4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Interference: increases by 1–3 HO/s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3.2  Synthetic Data Generation</w:t>
      </w:r>
    </w:p>
    <w:p>
      <w:pPr>
        <w:spacing w:after="60" w:before="60"/>
      </w:pPr>
      <w:r>
        <w:rPr>
          <w:rFonts w:ascii="Arial" w:cs="Arial" w:eastAsia="Arial" w:hAnsi="Arial"/>
          <w:b w:val="false"/>
          <w:bCs w:val="false"/>
          <w:color w:val="000000"/>
          <w:sz w:val="22"/>
          <w:szCs w:val="22"/>
        </w:rPr>
        <w:t xml:space="preserve">The KPITimeSeriesGenerator models per-cell KPI time series as AR(1) processes around 3GPP-calibrated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KPI[t] = mean + α × (KPI[t-1] - mean) + ε[t]</w:t>
            </w:r>
          </w:p>
          <w:p>
            <w:pPr>
              <w:spacing w:after="0" w:before="0"/>
            </w:pPr>
            <w:r>
              <w:rPr>
                <w:rFonts w:ascii="Courier New" w:cs="Courier New" w:eastAsia="Courier New" w:hAnsi="Courier New"/>
                <w:color w:val="1A1A1A"/>
                <w:sz w:val="18"/>
                <w:szCs w:val="18"/>
              </w:rPr>
              <w:t xml:space="preserve">where α = 0.85 (autocorrelation), ε ~ N(0, σ²(1-α²))</w:t>
            </w:r>
          </w:p>
        </w:tc>
      </w:tr>
    </w:tbl>
    <w:p>
      <w:pPr>
        <w:spacing w:after="0" w:before="60"/>
      </w:pPr>
      <w:r>
        <w:t xml:space="preserve"/>
      </w:r>
    </w:p>
    <w:p>
      <w:pPr>
        <w:spacing w:after="60" w:before="60"/>
      </w:pPr>
      <w:r>
        <w:rPr>
          <w:rFonts w:ascii="Arial" w:cs="Arial" w:eastAsia="Arial" w:hAnsi="Arial"/>
          <w:b w:val="false"/>
          <w:bCs w:val="false"/>
          <w:color w:val="000000"/>
          <w:sz w:val="22"/>
          <w:szCs w:val="22"/>
        </w:rPr>
        <w:t xml:space="preserve">This produces realistic temporal autocorrelation matching real 5G telemetry. Fault effects are applied as additive/multiplicative perturbations with gradual onset (5-second ramp) to simulate real fault behaviour. Anomaly rate is kept at 2% following the SIMBA paper's industrial recommendation.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3.3  Normalisation</w:t>
      </w:r>
    </w:p>
    <w:p>
      <w:pPr>
        <w:spacing w:after="60" w:before="60"/>
      </w:pPr>
      <w:r>
        <w:rPr>
          <w:rFonts w:ascii="Arial" w:cs="Arial" w:eastAsia="Arial" w:hAnsi="Arial"/>
          <w:b w:val="false"/>
          <w:bCs w:val="false"/>
          <w:color w:val="000000"/>
          <w:sz w:val="22"/>
          <w:szCs w:val="22"/>
        </w:rPr>
        <w:t xml:space="preserve">Min-max normalisation is applied per KPI dimension, fitted on training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X_norm[k] = (X[k] - min_train[k]) / (max_train[k] - min_train[k])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8"/>
              <w:left w:val="single" w:color="7F6000" w:sz="8"/>
              <w:bottom w:val="single" w:color="7F6000" w:sz="2"/>
              <w:right w:val="single" w:color="7F6000" w:sz="2"/>
            </w:tcBorders>
            <w:shd w:fill="FFF2CC" w:val="clear"/>
            <w:tcMar>
              <w:top w:type="dxa" w:w="100"/>
              <w:left w:type="dxa" w:w="200"/>
              <w:bottom w:type="dxa" w:w="100"/>
              <w:right w:type="dxa" w:w="160"/>
            </w:tcMar>
          </w:tcPr>
          <w:p>
            <w:r>
              <w:rPr>
                <w:rFonts w:ascii="Arial" w:cs="Arial" w:eastAsia="Arial" w:hAnsi="Arial"/>
                <w:color w:val="7F6000"/>
                <w:sz w:val="20"/>
                <w:szCs w:val="20"/>
              </w:rPr>
              <w:t xml:space="preserve">Critical: the normaliser is fitted ONLY on training data and then applied to validation and test sets. Fitting on the full dataset would constitute data leakage and produce over-optimistic evaluation results.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3.4  Data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000"/>
        <w:gridCol w:w="4160"/>
      </w:tblGrid>
      <w:tr>
        <w:trPr>
          <w:tblHeader/>
        </w:trPr>
        <w:tc>
          <w:tcPr>
            <w:tcW w:type="dxa" w:w="1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Split</w:t>
            </w:r>
          </w:p>
        </w:tc>
        <w:tc>
          <w:tcPr>
            <w:tcW w:type="dxa" w:w="1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Fraction</w:t>
            </w:r>
          </w:p>
        </w:tc>
        <w:tc>
          <w:tcPr>
            <w:tcW w:type="dxa" w:w="3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Purpose</w:t>
            </w:r>
          </w:p>
        </w:tc>
        <w:tc>
          <w:tcPr>
            <w:tcW w:type="dxa" w:w="41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Note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Train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50%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Model weight optimisation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No shuffling — temporal order preserved</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Validation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25%</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Hyperparameter tuning, early stopping</w:t>
            </w:r>
          </w:p>
        </w:tc>
        <w:tc>
          <w:tcPr>
            <w:tcW w:type="dxa" w:w="41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Follows train chronologically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Test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Final unbiased evaluation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Never used during training</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4.  Training Design</w:t>
      </w:r>
    </w:p>
    <w:p>
      <w:pPr>
        <w:pStyle w:val="Heading2"/>
        <w:spacing w:after="100" w:before="280"/>
      </w:pPr>
      <w:r>
        <w:rPr>
          <w:rFonts w:ascii="Arial" w:cs="Arial" w:eastAsia="Arial" w:hAnsi="Arial"/>
          <w:b/>
          <w:bCs/>
          <w:color w:val="2E75B6"/>
          <w:sz w:val="28"/>
          <w:szCs w:val="28"/>
        </w:rPr>
        <w:t xml:space="preserve">4.1  Loss Function — Weighted Focal Loss</w:t>
      </w:r>
    </w:p>
    <w:p>
      <w:pPr>
        <w:spacing w:after="60" w:before="60"/>
      </w:pPr>
      <w:r>
        <w:rPr>
          <w:rFonts w:ascii="Arial" w:cs="Arial" w:eastAsia="Arial" w:hAnsi="Arial"/>
          <w:b w:val="false"/>
          <w:bCs w:val="false"/>
          <w:color w:val="000000"/>
          <w:sz w:val="22"/>
          <w:szCs w:val="22"/>
        </w:rPr>
        <w:t xml:space="preserve">Standard cross-entropy fails on imbalanced datasets (2% anomaly rate). Two modifications are applied:</w:t>
      </w:r>
    </w:p>
    <w:p>
      <w:pPr>
        <w:pStyle w:val="ListParagraph"/>
        <w:numPr>
          <w:ilvl w:val="0"/>
          <w:numId w:val="2"/>
        </w:numPr>
        <w:spacing w:after="40" w:before="40"/>
      </w:pPr>
      <w:r>
        <w:rPr>
          <w:rFonts w:ascii="Arial" w:cs="Arial" w:eastAsia="Arial" w:hAnsi="Arial"/>
          <w:sz w:val="21"/>
          <w:szCs w:val="21"/>
        </w:rPr>
        <w:t xml:space="preserve">Class weighting: w_c = total_samples / (n_classes × count_c) — upweights rare anomaly classes</w:t>
      </w:r>
    </w:p>
    <w:p>
      <w:pPr>
        <w:pStyle w:val="ListParagraph"/>
        <w:numPr>
          <w:ilvl w:val="0"/>
          <w:numId w:val="2"/>
        </w:numPr>
        <w:spacing w:after="40" w:before="40"/>
      </w:pPr>
      <w:r>
        <w:rPr>
          <w:rFonts w:ascii="Arial" w:cs="Arial" w:eastAsia="Arial" w:hAnsi="Arial"/>
          <w:sz w:val="21"/>
          <w:szCs w:val="21"/>
        </w:rPr>
        <w:t xml:space="preserve">Focal modulation: multiply by (1-p_y)^γ — reduces contribution of easy correct predictions, forcing focus on hard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L = -(1/n) × Σ  w_y × (1 - p_y)^γ × log(p_y)</w:t>
            </w:r>
          </w:p>
          <w:p>
            <w:pPr>
              <w:spacing w:after="0" w:before="0"/>
            </w:pPr>
            <w:r>
              <w:rPr>
                <w:rFonts w:ascii="Courier New" w:cs="Courier New" w:eastAsia="Courier New" w:hAnsi="Courier New"/>
                <w:color w:val="1A1A1A"/>
                <w:sz w:val="18"/>
                <w:szCs w:val="18"/>
              </w:rPr>
              <w:t xml:space="preserve">where p_y = softmax probability for the true class</w:t>
            </w:r>
          </w:p>
          <w:p>
            <w:pPr>
              <w:spacing w:after="0" w:before="0"/>
            </w:pPr>
            <w:r>
              <w:rPr>
                <w:rFonts w:ascii="Courier New" w:cs="Courier New" w:eastAsia="Courier New" w:hAnsi="Courier New"/>
                <w:color w:val="1A1A1A"/>
                <w:sz w:val="18"/>
                <w:szCs w:val="18"/>
              </w:rPr>
              <w:t xml:space="preserve">      w_y = class weight for the true class</w:t>
            </w:r>
          </w:p>
          <w:p>
            <w:pPr>
              <w:spacing w:after="0" w:before="0"/>
            </w:pPr>
            <w:r>
              <w:rPr>
                <w:rFonts w:ascii="Courier New" w:cs="Courier New" w:eastAsia="Courier New" w:hAnsi="Courier New"/>
                <w:color w:val="1A1A1A"/>
                <w:sz w:val="18"/>
                <w:szCs w:val="18"/>
              </w:rPr>
              <w:t xml:space="preserve">      γ   = 2.0 (default focal parameter)</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4.2  Optimiser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Component</w:t>
            </w:r>
          </w:p>
        </w:tc>
        <w:tc>
          <w:tcPr>
            <w:tcW w:type="dxa" w:w="3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Choice</w:t>
            </w:r>
          </w:p>
        </w:tc>
        <w:tc>
          <w:tcPr>
            <w:tcW w:type="dxa" w:w="43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Optimiser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Adam (lr=1e-3, weight_decay=1e-4)</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Adaptive learning rate; weight decay regularises GNN weights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LR scheduler</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ReduceLROnPlateau (factor=0.5, patience=5)</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Reduces LR by half when val macro-F1 stops improving for 5 epochs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Gradient clipping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max_norm=1.0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Prevents gradient explosion in Transformer layers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Early stopping</w:t>
            </w:r>
          </w:p>
        </w:tc>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patience=15 on val macro-F1</w:t>
            </w:r>
          </w:p>
        </w:tc>
        <w:tc>
          <w:tcPr>
            <w:tcW w:type="dxa" w:w="4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Prevents overfitting; restores best checkpoint</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4.3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Metric</w:t>
            </w:r>
          </w:p>
        </w:tc>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Formula</w:t>
            </w:r>
          </w:p>
        </w:tc>
        <w:tc>
          <w:tcPr>
            <w:tcW w:type="dxa" w:w="5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Why it matters for this task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Per-class F1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2×P×R/(P+R) per class</w:t>
            </w:r>
          </w:p>
        </w:tc>
        <w:tc>
          <w:tcPr>
            <w:tcW w:type="dxa" w:w="5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Tracks detection quality for each fault type independently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Macro-F1</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mean of per-class F1</w:t>
            </w:r>
          </w:p>
        </w:tc>
        <w:tc>
          <w:tcPr>
            <w:tcW w:type="dxa" w:w="5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Primary optimisation target — equally weights all classes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Anomaly F1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Binary F1: normal vs any fault</w:t>
            </w:r>
          </w:p>
        </w:tc>
        <w:tc>
          <w:tcPr>
            <w:tcW w:type="dxa" w:w="5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Measures overall fault detection regardless of type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Anomaly Recall</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TP/(TP+FN)</w:t>
            </w:r>
          </w:p>
        </w:tc>
        <w:tc>
          <w:tcPr>
            <w:tcW w:type="dxa" w:w="5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Critical: missing a fault is worse than a false alarm in NOC context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Accuracy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Correct/Total</w:t>
            </w:r>
          </w:p>
        </w:tc>
        <w:tc>
          <w:tcPr>
            <w:tcW w:type="dxa" w:w="5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Reported but not optimised — misleading on imbalanced data</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5.  Inference Engine Design</w:t>
      </w:r>
    </w:p>
    <w:p>
      <w:pPr>
        <w:pStyle w:val="Heading2"/>
        <w:spacing w:after="100" w:before="280"/>
      </w:pPr>
      <w:r>
        <w:rPr>
          <w:rFonts w:ascii="Arial" w:cs="Arial" w:eastAsia="Arial" w:hAnsi="Arial"/>
          <w:b/>
          <w:bCs/>
          <w:color w:val="2E75B6"/>
          <w:sz w:val="28"/>
          <w:szCs w:val="28"/>
        </w:rPr>
        <w:t xml:space="preserve">5.1  Sliding Window Buffer</w:t>
      </w:r>
    </w:p>
    <w:p>
      <w:pPr>
        <w:spacing w:after="60" w:before="60"/>
      </w:pPr>
      <w:r>
        <w:rPr>
          <w:rFonts w:ascii="Arial" w:cs="Arial" w:eastAsia="Arial" w:hAnsi="Arial"/>
          <w:b w:val="false"/>
          <w:bCs w:val="false"/>
          <w:color w:val="000000"/>
          <w:sz w:val="22"/>
          <w:szCs w:val="22"/>
        </w:rPr>
        <w:t xml:space="preserve">The SlidingWindowBuffer maintains a fixed-size deque of KPI snapshots. Python's collections.deque with maxlen automatically evicts the oldest entry on each push — no explicit memory management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buffer = deque(maxlen=window_size)    # e.g. 30 entries</w:t>
            </w:r>
          </w:p>
          <w:p>
            <w:pPr>
              <w:spacing w:after="0" w:before="0"/>
            </w:pPr>
            <w:r>
              <w:rPr>
                <w:rFonts w:ascii="Courier New" w:cs="Courier New" w:eastAsia="Courier New" w:hAnsi="Courier New"/>
                <w:color w:val="1A1A1A"/>
                <w:sz w:val="18"/>
                <w:szCs w:val="18"/>
              </w:rPr>
              <w:t xml:space="preserve">buffer.append(kpi_snapshot)           # auto-evicts oldest</w:t>
            </w:r>
          </w:p>
          <w:p>
            <w:pPr>
              <w:spacing w:after="0" w:before="0"/>
            </w:pPr>
            <w:r>
              <w:rPr>
                <w:rFonts w:ascii="Courier New" w:cs="Courier New" w:eastAsia="Courier New" w:hAnsi="Courier New"/>
                <w:color w:val="1A1A1A"/>
                <w:sz w:val="18"/>
                <w:szCs w:val="18"/>
              </w:rPr>
              <w:t xml:space="preserve">window = np.array(list(buffer))       # (window_size, n_cells, n_kpis)</w:t>
            </w:r>
          </w:p>
        </w:tc>
      </w:tr>
    </w:tbl>
    <w:p>
      <w:pPr>
        <w:spacing w:after="0" w:before="60"/>
      </w:pPr>
      <w:r>
        <w:t xml:space="preserve"/>
      </w:r>
    </w:p>
    <w:p>
      <w:pPr>
        <w:spacing w:after="60" w:before="60"/>
      </w:pPr>
      <w:r>
        <w:rPr>
          <w:rFonts w:ascii="Arial" w:cs="Arial" w:eastAsia="Arial" w:hAnsi="Arial"/>
          <w:b w:val="false"/>
          <w:bCs w:val="false"/>
          <w:color w:val="000000"/>
          <w:sz w:val="22"/>
          <w:szCs w:val="22"/>
        </w:rPr>
        <w:t xml:space="preserve">Inference is triggered every stride timesteps (default stride=1, configurable). For a 1000-cell network at 1 Hz with stride=5, this gives 200 inference calls per second — well within the capacity of a single GPU or multi-core CPU.</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5.2  Inference Call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800"/>
        <w:gridCol w:w="4000"/>
      </w:tblGrid>
      <w:tr>
        <w:trPr>
          <w:tblHeader/>
        </w:trPr>
        <w:tc>
          <w:tcPr>
            <w:tcW w:type="dxa" w:w="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Step</w:t>
            </w:r>
          </w:p>
        </w:tc>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Operation</w:t>
            </w:r>
          </w:p>
        </w:tc>
        <w:tc>
          <w:tcPr>
            <w:tcW w:type="dxa" w:w="2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Shape</w:t>
            </w:r>
          </w:p>
        </w:tc>
        <w:tc>
          <w:tcPr>
            <w:tcW w:type="dxa" w:w="4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Push KPI snapshot to buffer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(n_cells, n_kpis) → deque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Raw unnormalised values</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Check buffer ready + stride counter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bool</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Proceed only if full window available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Get window from buffer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(window_size, n_cells, n_kpis)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numpy array</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Apply KPINormalizer.transform()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(window_size, n_cells, n_kpis) ∈[0,1]</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Uses statistics from training data</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Add batch dim, move to device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(1, window_size, n_cells, n_kpis)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torch.tensor, .unsqueeze(0)</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model.forward(x, prior)</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logits (1, n_cells, 3), adj (N, N)</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torch.no_grad()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softmax over logits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(1, n_cells, 3)</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Per-cell class probabilities</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argmax + threshold check</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(n_cells,) class labels</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anomaly if pred&gt;0 AND conf≥threshold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Build CellDetection per cell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List[CellDetection]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Includes repair_action lookup</w:t>
            </w:r>
          </w:p>
        </w:tc>
      </w:tr>
      <w:tr>
        <w:tc>
          <w:tcPr>
            <w:tcW w:type="dxa" w:w="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Return InferenceResult</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InferenceResult</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Contains all cell detections + learned adj</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5.3  Output Schema — CellDetection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400"/>
        <w:gridCol w:w="4000"/>
      </w:tblGrid>
      <w:tr>
        <w:trPr>
          <w:tblHeader/>
        </w:trPr>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Field</w:t>
            </w:r>
          </w:p>
        </w:tc>
        <w:tc>
          <w:tcPr>
            <w:tcW w:type="dxa" w:w="1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Type</w:t>
            </w:r>
          </w:p>
        </w:tc>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Example</w:t>
            </w:r>
          </w:p>
        </w:tc>
        <w:tc>
          <w:tcPr>
            <w:tcW w:type="dxa" w:w="4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cell_id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Zero-indexed cell identifier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gnb_id</w:t>
            </w:r>
          </w:p>
        </w:tc>
        <w:tc>
          <w:tcPr>
            <w:tcW w:type="dxa" w:w="1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int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Parent gNB (cell_id // 3 by default)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fault_type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excessive_power_reduction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Predicted fault class name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confidence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float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0.873</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Softmax probability of predicted class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probabilities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dict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{normal:0.05, power:0.87, ...}</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Full class probability distribution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timestamp</w:t>
            </w:r>
          </w:p>
        </w:tc>
        <w:tc>
          <w:tcPr>
            <w:tcW w:type="dxa" w:w="1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2024-01-15T14:23:01Z</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UTC ISO-8601 timestamp of inference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is_anomaly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bool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True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True if fault predicted AND confidence ≥ threshold</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repair_action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str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Check TX power configuration…</w:t>
            </w:r>
          </w:p>
        </w:tc>
        <w:tc>
          <w:tcPr>
            <w:tcW w:type="dxa" w:w="4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Recommended NOC action</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6.  Brownfield Integration Architecture</w:t>
      </w:r>
    </w:p>
    <w:p>
      <w:pPr>
        <w:pStyle w:val="Heading2"/>
        <w:spacing w:after="100" w:before="280"/>
      </w:pPr>
      <w:r>
        <w:rPr>
          <w:rFonts w:ascii="Arial" w:cs="Arial" w:eastAsia="Arial" w:hAnsi="Arial"/>
          <w:b/>
          <w:bCs/>
          <w:color w:val="2E75B6"/>
          <w:sz w:val="28"/>
          <w:szCs w:val="28"/>
        </w:rPr>
        <w:t xml:space="preserve">6.1  Integration Layer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8"/>
              <w:left w:val="single" w:color="7F6000" w:sz="8"/>
              <w:bottom w:val="single" w:color="7F6000" w:sz="2"/>
              <w:right w:val="single" w:color="7F6000" w:sz="2"/>
            </w:tcBorders>
            <w:shd w:fill="FFF2CC" w:val="clear"/>
            <w:tcMar>
              <w:top w:type="dxa" w:w="100"/>
              <w:left w:type="dxa" w:w="200"/>
              <w:bottom w:type="dxa" w:w="100"/>
              <w:right w:type="dxa" w:w="160"/>
            </w:tcMar>
          </w:tcPr>
          <w:p>
            <w:r>
              <w:rPr>
                <w:rFonts w:ascii="Arial" w:cs="Arial" w:eastAsia="Arial" w:hAnsi="Arial"/>
                <w:color w:val="7F6000"/>
                <w:sz w:val="20"/>
                <w:szCs w:val="20"/>
              </w:rPr>
              <w:t xml:space="preserve">MCP (Model Context Protocol) is NOT recommended for KPI stream ingestion. MCP follows a request/response pattern and has no native support for continuous data streams, back-pressure, or at-least-once delivery semantics. Use Kafka for streaming and MCP only for the LLM NOC assistant layer.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Layer</w:t>
            </w:r>
          </w:p>
        </w:tc>
        <w:tc>
          <w:tcPr>
            <w:tcW w:type="dxa" w:w="3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Recommended Approach</w:t>
            </w:r>
          </w:p>
        </w:tc>
        <w:tc>
          <w:tcPr>
            <w:tcW w:type="dxa" w:w="37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Why Not MCP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KPI Stream Ingest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Apache Kafka (partitioned by gNB or domain)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MCP has no streaming support, no consumer groups, no replay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Topology Discovery</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NETCONF/RESTCONF + YANG (direct to gNB) or TMF639</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One-time pull — MCP adds unnecessary overhead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Alarm Normalisation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TMF642 pipeline (already built in this project)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SNMP/syslog/REST → Kafka — direct adapters are simpler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ML Inference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Python service consuming Kafka KPI topic</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Stateful sliding window needs persistent process, not request/response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KG + Incident Storage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Neo4j write via bolt driver (direct, not MCP)</w:t>
            </w:r>
          </w:p>
        </w:tc>
        <w:tc>
          <w:tcPr>
            <w:tcW w:type="dxa" w:w="3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Direct driver is faster and simpler for write-heavy workloads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NOC LLM Assistant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MCP IS APPROPRIATE: wraps Neo4j + SIMBA as tools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LLM queries are request/response — MCP is the right abstraction here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6.2  Topology Discovery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Method</w:t>
            </w:r>
          </w:p>
        </w:tc>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Standard</w:t>
            </w:r>
          </w:p>
        </w:tc>
        <w:tc>
          <w:tcPr>
            <w:tcW w:type="dxa" w:w="2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When to Use</w:t>
            </w:r>
          </w:p>
        </w:tc>
        <w:tc>
          <w:tcPr>
            <w:tcW w:type="dxa" w:w="25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Key Fields Retrieved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NETCONF/RESTCONF + YANG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3GPP NRM, TS 28.623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Modern 5G gNBs (Nokia, Ericsson, Huawei all support)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NRCellDU: cellLocalId, gnbId, latitude, longitude, neighbors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TMF639 Resource Inventory</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TM Forum TMF639 v4</w:t>
            </w:r>
          </w:p>
        </w:tc>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Operators with TM Forum-compliant CMDB/inventory</w:t>
            </w:r>
          </w:p>
        </w:tc>
        <w:tc>
          <w:tcPr>
            <w:tcW w:type="dxa" w:w="2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Resource: id, name, resourceCharacteristic (gnbId, lat, lon)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O-RAN SMO Northbound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O-RAN WG3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Open RAN deployments with SMO layer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Cell topology, E2 node info, neighbour relations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SNMP LLDP/CDP walk</w:t>
            </w:r>
          </w:p>
        </w:tc>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RFC 2922, Cisco CDP</w:t>
            </w:r>
          </w:p>
        </w:tc>
        <w:tc>
          <w:tcPr>
            <w:tcW w:type="dxa" w:w="2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Legacy brownfield with no REST/NETCONF</w:t>
            </w:r>
          </w:p>
        </w:tc>
        <w:tc>
          <w:tcPr>
            <w:tcW w:type="dxa" w:w="2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Neighbour table: local-port, remote-system, remote-port</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6.3  Production Deployment Sequence</w:t>
      </w:r>
    </w:p>
    <w:p>
      <w:pPr>
        <w:pStyle w:val="ListParagraph"/>
        <w:numPr>
          <w:ilvl w:val="0"/>
          <w:numId w:val="3"/>
        </w:numPr>
        <w:spacing w:after="40" w:before="40"/>
      </w:pPr>
      <w:r>
        <w:rPr>
          <w:rFonts w:ascii="Arial" w:cs="Arial" w:eastAsia="Arial" w:hAnsi="Arial"/>
          <w:sz w:val="21"/>
          <w:szCs w:val="21"/>
        </w:rPr>
        <w:t xml:space="preserve">Run TopologyDiscoveryAdapter once to pull cell and gNB topology from NETCONF or TMF639</w:t>
      </w:r>
    </w:p>
    <w:p>
      <w:pPr>
        <w:pStyle w:val="ListParagraph"/>
        <w:numPr>
          <w:ilvl w:val="0"/>
          <w:numId w:val="3"/>
        </w:numPr>
        <w:spacing w:after="40" w:before="40"/>
      </w:pPr>
      <w:r>
        <w:rPr>
          <w:rFonts w:ascii="Arial" w:cs="Arial" w:eastAsia="Arial" w:hAnsi="Arial"/>
          <w:sz w:val="21"/>
          <w:szCs w:val="21"/>
        </w:rPr>
        <w:t xml:space="preserve">Load topology into Neo4j using build_graph.py (already built)</w:t>
      </w:r>
    </w:p>
    <w:p>
      <w:pPr>
        <w:pStyle w:val="ListParagraph"/>
        <w:numPr>
          <w:ilvl w:val="0"/>
          <w:numId w:val="3"/>
        </w:numPr>
        <w:spacing w:after="40" w:before="40"/>
      </w:pPr>
      <w:r>
        <w:rPr>
          <w:rFonts w:ascii="Arial" w:cs="Arial" w:eastAsia="Arial" w:hAnsi="Arial"/>
          <w:sz w:val="21"/>
          <w:szCs w:val="21"/>
        </w:rPr>
        <w:t xml:space="preserve">Deploy KafkaKPIAdapter consuming from NMS PM Kafka topic (or RESTKPIAdapter polling NMS REST API)</w:t>
      </w:r>
    </w:p>
    <w:p>
      <w:pPr>
        <w:pStyle w:val="ListParagraph"/>
        <w:numPr>
          <w:ilvl w:val="0"/>
          <w:numId w:val="3"/>
        </w:numPr>
        <w:spacing w:after="40" w:before="40"/>
      </w:pPr>
      <w:r>
        <w:rPr>
          <w:rFonts w:ascii="Arial" w:cs="Arial" w:eastAsia="Arial" w:hAnsi="Arial"/>
          <w:sz w:val="21"/>
          <w:szCs w:val="21"/>
        </w:rPr>
        <w:t xml:space="preserve">Feed KPI snapshots to SimbaInferenceEngine sliding window buffer</w:t>
      </w:r>
    </w:p>
    <w:p>
      <w:pPr>
        <w:pStyle w:val="ListParagraph"/>
        <w:numPr>
          <w:ilvl w:val="0"/>
          <w:numId w:val="3"/>
        </w:numPr>
        <w:spacing w:after="40" w:before="40"/>
      </w:pPr>
      <w:r>
        <w:rPr>
          <w:rFonts w:ascii="Arial" w:cs="Arial" w:eastAsia="Arial" w:hAnsi="Arial"/>
          <w:sz w:val="21"/>
          <w:szCs w:val="21"/>
        </w:rPr>
        <w:t xml:space="preserve">Write InferenceResult detections back to Kafka output topic and Neo4j as Incident nodes</w:t>
      </w:r>
    </w:p>
    <w:p>
      <w:pPr>
        <w:pStyle w:val="ListParagraph"/>
        <w:numPr>
          <w:ilvl w:val="0"/>
          <w:numId w:val="3"/>
        </w:numPr>
        <w:spacing w:after="40" w:before="40"/>
      </w:pPr>
      <w:r>
        <w:rPr>
          <w:rFonts w:ascii="Arial" w:cs="Arial" w:eastAsia="Arial" w:hAnsi="Arial"/>
          <w:sz w:val="21"/>
          <w:szCs w:val="21"/>
        </w:rPr>
        <w:t xml:space="preserve">Build MCP server exposing Neo4j graph and SIMBA predictions as LLM tools for NOC assistant</w:t>
      </w:r>
    </w:p>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7.  Available Open Source Datasets</w:t>
      </w:r>
    </w:p>
    <w:p>
      <w:pPr>
        <w:spacing w:after="60" w:before="60"/>
      </w:pPr>
      <w:r>
        <w:rPr>
          <w:rFonts w:ascii="Arial" w:cs="Arial" w:eastAsia="Arial" w:hAnsi="Arial"/>
          <w:b w:val="false"/>
          <w:bCs w:val="false"/>
          <w:color w:val="000000"/>
          <w:sz w:val="22"/>
          <w:szCs w:val="22"/>
        </w:rPr>
        <w:t xml:space="preserve">Real labeled 5G KPI datasets from operators are not publicly available due to privacy and IP constraints. The following are the best available open datasets ranked by relevance: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800"/>
        <w:gridCol w:w="1560"/>
      </w:tblGrid>
      <w:tr>
        <w:trPr>
          <w:tblHeader/>
        </w:trPr>
        <w:tc>
          <w:tcPr>
            <w:tcW w:type="dxa" w:w="20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Dataset</w:t>
            </w:r>
          </w:p>
        </w:tc>
        <w:tc>
          <w:tcPr>
            <w:tcW w:type="dxa" w:w="16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Source</w:t>
            </w:r>
          </w:p>
        </w:tc>
        <w:tc>
          <w:tcPr>
            <w:tcW w:type="dxa" w:w="24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URL</w:t>
            </w:r>
          </w:p>
        </w:tc>
        <w:tc>
          <w:tcPr>
            <w:tcW w:type="dxa" w:w="1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Relevance</w:t>
            </w:r>
          </w:p>
        </w:tc>
        <w:tc>
          <w:tcPr>
            <w:tcW w:type="dxa" w:w="15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Limitations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SIMBA GitRepo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Hasan et al., arXiv:2406.15638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github.com/antor-hasan/simba-5g-ran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Highest — same paper, same KPIs, labeled faults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Generated by Simu5G, not real network</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uccmisl/5Gdataset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University College Cork</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github.com/uccmisl/5Gdataset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High — real 5G network, 3GPP KPIs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No fault labels; UE-side only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O-RAN SC xApp AD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O-RAN Software Community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github.com/o-ran-sc/ric-app-ad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Medium — real RAN telemetry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Small dataset, limited fault coverage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TelecomTS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Ali Maatouk, HuggingFace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huggingface.co/datasets/AliMaatouk/TelecomTS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Medium — 18 KPIs, 5G lab network</w:t>
            </w:r>
          </w:p>
        </w:tc>
        <w:tc>
          <w:tcPr>
            <w:tcW w:type="dxa" w:w="1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Single gNB, limited topology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Simu5G simulator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University of Pisa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github.com/Unipisa/Simu5G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Enables generation of custom datasets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Requires OMNeT++ setup; steep learning curve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SpotLight dataset</w:t>
            </w:r>
          </w:p>
        </w:tc>
        <w:tc>
          <w:tcPr>
            <w:tcW w:type="dxa" w:w="16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Microsoft Research</w:t>
            </w:r>
          </w:p>
        </w:tc>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via RANGAN paper, arXiv:2508.20985</w:t>
            </w:r>
          </w:p>
        </w:tc>
        <w:tc>
          <w:tcPr>
            <w:tcW w:type="dxa" w:w="1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Medium — 3GPP standard KPIs, 5 UE profiles</w:t>
            </w:r>
          </w:p>
        </w:tc>
        <w:tc>
          <w:tcPr>
            <w:tcW w:type="dxa" w:w="1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Simulation only; no fault propagation across cells</w:t>
            </w:r>
          </w:p>
        </w:tc>
      </w:tr>
    </w:tbl>
    <w:p>
      <w:pPr>
        <w:spacing w:after="0" w:before="80"/>
      </w:pPr>
      <w:r>
        <w:t xml:space="preserve"/>
      </w:r>
    </w:p>
    <w:p>
      <w:r>
        <w:br w:type="page"/>
      </w:r>
    </w:p>
    <w:p>
      <w:pPr>
        <w:pStyle w:val="Heading1"/>
        <w:spacing w:after="120" w:before="360"/>
      </w:pPr>
      <w:r>
        <w:rPr>
          <w:rFonts w:ascii="Arial" w:cs="Arial" w:eastAsia="Arial" w:hAnsi="Arial"/>
          <w:b/>
          <w:bCs/>
          <w:color w:val="1F4E79"/>
          <w:sz w:val="36"/>
          <w:szCs w:val="36"/>
        </w:rPr>
        <w:t xml:space="preserve">8.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2E75B6" w:sz="8"/>
              <w:bottom w:val="single" w:color="999999" w:sz="4"/>
              <w:right w:val="single" w:color="999999" w:sz="2"/>
            </w:tcBorders>
            <w:shd w:fill="F3F3F3" w:val="clear"/>
            <w:tcMar>
              <w:top w:type="dxa" w:w="100"/>
              <w:left w:type="dxa" w:w="200"/>
              <w:bottom w:type="dxa" w:w="100"/>
              <w:right w:type="dxa" w:w="160"/>
            </w:tcMar>
          </w:tcPr>
          <w:p>
            <w:pPr>
              <w:spacing w:after="0" w:before="0"/>
            </w:pPr>
            <w:r>
              <w:rPr>
                <w:rFonts w:ascii="Courier New" w:cs="Courier New" w:eastAsia="Courier New" w:hAnsi="Courier New"/>
                <w:color w:val="1A1A1A"/>
                <w:sz w:val="18"/>
                <w:szCs w:val="18"/>
              </w:rPr>
              <w:t xml:space="preserve">simba_pipeline/</w:t>
            </w:r>
          </w:p>
          <w:p>
            <w:pPr>
              <w:spacing w:after="0" w:before="0"/>
            </w:pPr>
            <w:r>
              <w:rPr>
                <w:rFonts w:ascii="Courier New" w:cs="Courier New" w:eastAsia="Courier New" w:hAnsi="Courier New"/>
                <w:color w:val="1A1A1A"/>
                <w:sz w:val="18"/>
                <w:szCs w:val="18"/>
              </w:rPr>
              <w:t xml:space="preserve">├── __init__.py                      ← package root, version info</w:t>
            </w:r>
          </w:p>
          <w:p>
            <w:pPr>
              <w:spacing w:after="0" w:before="0"/>
            </w:pPr>
            <w:r>
              <w:rPr>
                <w:rFonts w:ascii="Courier New" w:cs="Courier New" w:eastAsia="Courier New" w:hAnsi="Courier New"/>
                <w:color w:val="1A1A1A"/>
                <w:sz w:val="18"/>
                <w:szCs w:val="18"/>
              </w:rPr>
              <w:t xml:space="preserve">├── requirements.txt                 ← pip dependencies</w:t>
            </w:r>
          </w:p>
          <w:p>
            <w:pPr>
              <w:spacing w:after="0" w:before="0"/>
            </w:pPr>
            <w:r>
              <w:rPr>
                <w:rFonts w:ascii="Courier New" w:cs="Courier New" w:eastAsia="Courier New" w:hAnsi="Courier New"/>
                <w:color w:val="1A1A1A"/>
                <w:sz w:val="18"/>
                <w:szCs w:val="18"/>
              </w:rPr>
              <w:t xml:space="preserve">├── run_demo.py                      ← end-to-end demo runner</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data/</w:t>
            </w:r>
          </w:p>
          <w:p>
            <w:pPr>
              <w:spacing w:after="0" w:before="0"/>
            </w:pPr>
            <w:r>
              <w:rPr>
                <w:rFonts w:ascii="Courier New" w:cs="Courier New" w:eastAsia="Courier New" w:hAnsi="Courier New"/>
                <w:color w:val="1A1A1A"/>
                <w:sz w:val="18"/>
                <w:szCs w:val="18"/>
              </w:rPr>
              <w:t xml:space="preserve">│   ├── __init__.py                  ← exports: KPITimeSeriesGenerator, KPINormalizer, ...</w:t>
            </w:r>
          </w:p>
          <w:p>
            <w:pPr>
              <w:spacing w:after="0" w:before="0"/>
            </w:pPr>
            <w:r>
              <w:rPr>
                <w:rFonts w:ascii="Courier New" w:cs="Courier New" w:eastAsia="Courier New" w:hAnsi="Courier New"/>
                <w:color w:val="1A1A1A"/>
                <w:sz w:val="18"/>
                <w:szCs w:val="18"/>
              </w:rPr>
              <w:t xml:space="preserve">│   └── dataset_generator.py         ← synthetic 5G KPI generation + preprocessing</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models/</w:t>
            </w:r>
          </w:p>
          <w:p>
            <w:pPr>
              <w:spacing w:after="0" w:before="0"/>
            </w:pPr>
            <w:r>
              <w:rPr>
                <w:rFonts w:ascii="Courier New" w:cs="Courier New" w:eastAsia="Courier New" w:hAnsi="Courier New"/>
                <w:color w:val="1A1A1A"/>
                <w:sz w:val="18"/>
                <w:szCs w:val="18"/>
              </w:rPr>
              <w:t xml:space="preserve">│   ├── __init__.py                  ← exports: Simba, WeightedFocalLoss, ...</w:t>
            </w:r>
          </w:p>
          <w:p>
            <w:pPr>
              <w:spacing w:after="0" w:before="0"/>
            </w:pPr>
            <w:r>
              <w:rPr>
                <w:rFonts w:ascii="Courier New" w:cs="Courier New" w:eastAsia="Courier New" w:hAnsi="Courier New"/>
                <w:color w:val="1A1A1A"/>
                <w:sz w:val="18"/>
                <w:szCs w:val="18"/>
              </w:rPr>
              <w:t xml:space="preserve">│   └── simba.py                     ← full SIMBA model: GSL + GCN + Transformer</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training/</w:t>
            </w:r>
          </w:p>
          <w:p>
            <w:pPr>
              <w:spacing w:after="0" w:before="0"/>
            </w:pPr>
            <w:r>
              <w:rPr>
                <w:rFonts w:ascii="Courier New" w:cs="Courier New" w:eastAsia="Courier New" w:hAnsi="Courier New"/>
                <w:color w:val="1A1A1A"/>
                <w:sz w:val="18"/>
                <w:szCs w:val="18"/>
              </w:rPr>
              <w:t xml:space="preserve">│   ├── __init__.py                  ← exports: train, evaluate, compute_metrics</w:t>
            </w:r>
          </w:p>
          <w:p>
            <w:pPr>
              <w:spacing w:after="0" w:before="0"/>
            </w:pPr>
            <w:r>
              <w:rPr>
                <w:rFonts w:ascii="Courier New" w:cs="Courier New" w:eastAsia="Courier New" w:hAnsi="Courier New"/>
                <w:color w:val="1A1A1A"/>
                <w:sz w:val="18"/>
                <w:szCs w:val="18"/>
              </w:rPr>
              <w:t xml:space="preserve">│   └── train.py                     ← training loop, early stopping, metrics</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inference/</w:t>
            </w:r>
          </w:p>
          <w:p>
            <w:pPr>
              <w:spacing w:after="0" w:before="0"/>
            </w:pPr>
            <w:r>
              <w:rPr>
                <w:rFonts w:ascii="Courier New" w:cs="Courier New" w:eastAsia="Courier New" w:hAnsi="Courier New"/>
                <w:color w:val="1A1A1A"/>
                <w:sz w:val="18"/>
                <w:szCs w:val="18"/>
              </w:rPr>
              <w:t xml:space="preserve">│   ├── __init__.py                  ← exports: SimbaInferenceEngine, CellDetection</w:t>
            </w:r>
          </w:p>
          <w:p>
            <w:pPr>
              <w:spacing w:after="0" w:before="0"/>
            </w:pPr>
            <w:r>
              <w:rPr>
                <w:rFonts w:ascii="Courier New" w:cs="Courier New" w:eastAsia="Courier New" w:hAnsi="Courier New"/>
                <w:color w:val="1A1A1A"/>
                <w:sz w:val="18"/>
                <w:szCs w:val="18"/>
              </w:rPr>
              <w:t xml:space="preserve">│   └── inference_engine.py          ← sliding window buffer + real-time inference</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integration/</w:t>
            </w:r>
          </w:p>
          <w:p>
            <w:pPr>
              <w:spacing w:after="0" w:before="0"/>
            </w:pPr>
            <w:r>
              <w:rPr>
                <w:rFonts w:ascii="Courier New" w:cs="Courier New" w:eastAsia="Courier New" w:hAnsi="Courier New"/>
                <w:color w:val="1A1A1A"/>
                <w:sz w:val="18"/>
                <w:szCs w:val="18"/>
              </w:rPr>
              <w:t xml:space="preserve">│   ├── __init__.py                  ← exports: KafkaKPIAdapter, TopologyDiscoveryAdapter</w:t>
            </w:r>
          </w:p>
          <w:p>
            <w:pPr>
              <w:spacing w:after="0" w:before="0"/>
            </w:pPr>
            <w:r>
              <w:rPr>
                <w:rFonts w:ascii="Courier New" w:cs="Courier New" w:eastAsia="Courier New" w:hAnsi="Courier New"/>
                <w:color w:val="1A1A1A"/>
                <w:sz w:val="18"/>
                <w:szCs w:val="18"/>
              </w:rPr>
              <w:t xml:space="preserve">│   └── adapters.py                  ← Kafka/REST/NETCONF/TMF639 integration adapters</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tests/</w:t>
            </w:r>
          </w:p>
          <w:p>
            <w:pPr>
              <w:spacing w:after="0" w:before="0"/>
            </w:pPr>
            <w:r>
              <w:rPr>
                <w:rFonts w:ascii="Courier New" w:cs="Courier New" w:eastAsia="Courier New" w:hAnsi="Courier New"/>
                <w:color w:val="1A1A1A"/>
                <w:sz w:val="18"/>
                <w:szCs w:val="18"/>
              </w:rPr>
              <w:t xml:space="preserve">    └── __init__.py</w:t>
            </w:r>
          </w:p>
        </w:tc>
      </w:tr>
    </w:tbl>
    <w:p>
      <w:pPr>
        <w:spacing w:after="0" w:before="80"/>
      </w:pPr>
      <w:r>
        <w:t xml:space="preserve"/>
      </w:r>
    </w:p>
    <w:p>
      <w:pPr>
        <w:pStyle w:val="Heading1"/>
        <w:spacing w:after="120" w:before="360"/>
      </w:pPr>
      <w:r>
        <w:rPr>
          <w:rFonts w:ascii="Arial" w:cs="Arial" w:eastAsia="Arial" w:hAnsi="Arial"/>
          <w:b/>
          <w:bCs/>
          <w:color w:val="1F4E79"/>
          <w:sz w:val="36"/>
          <w:szCs w:val="36"/>
        </w:rPr>
        <w:t xml:space="preserve">9.  Quick Start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Command</w:t>
            </w:r>
          </w:p>
        </w:tc>
        <w:tc>
          <w:tcPr>
            <w:tcW w:type="dxa" w:w="4560"/>
            <w:tcBorders>
              <w:top w:val="single" w:color="2E75B6" w:sz="6"/>
              <w:left w:val="single" w:color="CCCCCC" w:sz="1"/>
              <w:bottom w:val="single" w:color="CCCCCC" w:sz="1"/>
              <w:right w:val="single" w:color="CCCCCC" w:sz="1"/>
            </w:tcBorders>
            <w:shd w:fill="BDD7EE" w:val="clear"/>
            <w:tcMar>
              <w:top w:type="dxa" w:w="80"/>
              <w:left w:type="dxa" w:w="140"/>
              <w:bottom w:type="dxa" w:w="80"/>
              <w:right w:type="dxa" w:w="120"/>
            </w:tcMar>
            <w:vAlign w:val="center"/>
          </w:tcPr>
          <w:p>
            <w:r>
              <w:rPr>
                <w:rFonts w:ascii="Arial" w:cs="Arial" w:eastAsia="Arial" w:hAnsi="Arial"/>
                <w:b/>
                <w:bCs/>
                <w:color w:val="1F4E79"/>
                <w:sz w:val="20"/>
                <w:szCs w:val="20"/>
              </w:rPr>
              <w:t xml:space="preserve">Description</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pip install torch numpy pandas scikit-learn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Install dependencies (Python 3.8+)</w:t>
            </w:r>
          </w:p>
        </w:tc>
      </w:tr>
      <w:tr>
        <w:tc>
          <w:tcPr>
            <w:tcW w:type="dxa" w:w="4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python run_demo.py --quick</w:t>
            </w:r>
          </w:p>
        </w:tc>
        <w:tc>
          <w:tcPr>
            <w:tcW w:type="dxa" w:w="4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Quick demo: 3 gNBs, 30 min data, 20 epochs</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python run_demo.py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Full demo: 7 gNBs, 2-hour data, 50 epochs</w:t>
            </w:r>
          </w:p>
        </w:tc>
      </w:tr>
      <w:tr>
        <w:tc>
          <w:tcPr>
            <w:tcW w:type="dxa" w:w="4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python run_demo.py --skip-train</w:t>
            </w:r>
          </w:p>
        </w:tc>
        <w:tc>
          <w:tcPr>
            <w:tcW w:type="dxa" w:w="4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Run inference only with existing saved model</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python data/dataset_generator.py --duration 7200 --output data/kpi.npz</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Generate dataset standalone</w:t>
            </w:r>
          </w:p>
        </w:tc>
      </w:tr>
      <w:tr>
        <w:tc>
          <w:tcPr>
            <w:tcW w:type="dxa" w:w="4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python training/train.py --data data/kpi.npz --epochs 50</w:t>
            </w:r>
          </w:p>
        </w:tc>
        <w:tc>
          <w:tcPr>
            <w:tcW w:type="dxa" w:w="45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20"/>
            </w:tcMar>
          </w:tcPr>
          <w:p>
            <w:r>
              <w:rPr>
                <w:rFonts w:ascii="Arial" w:cs="Arial" w:eastAsia="Arial" w:hAnsi="Arial"/>
                <w:sz w:val="19"/>
                <w:szCs w:val="19"/>
              </w:rPr>
              <w:t xml:space="preserve">Train standalone</w:t>
            </w:r>
          </w:p>
        </w:tc>
      </w:tr>
      <w:tr>
        <w:tc>
          <w:tcPr>
            <w:tcW w:type="dxa" w:w="4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python integration/adapters.py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sz w:val="19"/>
                <w:szCs w:val="19"/>
              </w:rPr>
              <w:t xml:space="preserve">Print integration architecture recommendation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120"/>
    </w:pPr>
    <w:r>
      <w:rPr>
        <w:rFonts w:ascii="Arial" w:cs="Arial" w:eastAsia="Arial" w:hAnsi="Arial"/>
        <w:color w:val="888888"/>
        <w:sz w:val="16"/>
        <w:szCs w:val="16"/>
      </w:rPr>
      <w:t xml:space="preserve">CONFIDENTIAL</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before="0"/>
    </w:pPr>
    <w:r>
      <w:rPr>
        <w:rFonts w:ascii="Arial" w:cs="Arial" w:eastAsia="Arial" w:hAnsi="Arial"/>
        <w:b/>
        <w:bCs/>
        <w:color w:val="1F4E79"/>
        <w:sz w:val="18"/>
        <w:szCs w:val="18"/>
      </w:rPr>
      <w:t xml:space="preserve">LOW LEVEL DESIGN</w:t>
    </w:r>
    <w:r>
      <w:rPr>
        <w:rFonts w:ascii="Arial" w:cs="Arial" w:eastAsia="Arial" w:hAnsi="Arial"/>
        <w:color w:val="666666"/>
        <w:sz w:val="18"/>
        <w:szCs w:val="18"/>
      </w:rPr>
      <w:t xml:space="preserve">	SIMBA — GNN+Transformer RCA Pipeline for 5G 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000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1A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2026-04-24T01:58:45.978Z</dcterms:created>
  <dcterms:modified xsi:type="dcterms:W3CDTF">2026-04-24T01:58:45.979Z</dcterms:modified>
</cp:coreProperties>
</file>

<file path=docProps/custom.xml><?xml version="1.0" encoding="utf-8"?>
<Properties xmlns="http://schemas.openxmlformats.org/officeDocument/2006/custom-properties" xmlns:vt="http://schemas.openxmlformats.org/officeDocument/2006/docPropsVTypes"/>
</file>