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Title: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Ultra-Fast DSP Bidding Engine for Programmatic Advertising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Problem Statement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digital advertising, brands compete in real-time auctions to show their ads to users. Whenever a user opens a webpage, advertisers have less than the blink of an eye (5 milliseconds) to decide how much to pay for that ad space. The challenge is to iden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tify and win the best ad spaces that lead to the most clicks and sales (conversions), all while never exceeding a fixed budget and operating under severe hardware limits (512 MB of memory).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Our Proposed Solution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solve this, we are building a two-part automated bidding system that acts like a highly efficient, budget-conscious stock trader: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Prediction Engine: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using heavy, slow AI models, we use highly optimized mathematical formulas to instantly predict the probability of a user clicking or converting. Because user data (like website domains and device types) can take up massive amounts of memory, 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 use a compression technique called "Feature Hashing."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This translates text data into a tiny numerical footprint, allowing our model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(Comprising of two segements)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 recognize millions of patterns while using only a few megabytes of RAM.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Budget Pacer: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Bidding aggressively spends the budget too fast, while bidding too conservatively leaves money on the table. To solve this, we implement a PID Controller—a feedback mechanism commonly used in industrial systems to maintain a steady state. This controller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continuously monitors our spending rate and dynamically adjusts our bids in real-time to precisely pace the campaign budget over the entire evaluation period.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Technology Stack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Our architecture splits the heavy data lifting from the real-time execution to comfortably meet all hackathon constraints: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Cleaning (Python 3.9 &amp; Polars):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 use Python for our offline data engineering. Specifically, we use the Polars library, which is engineered for blazing-fast performance on a single machine, to clean and process the massive historical logs of clicks and impressions.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 Training (Python 3.9):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 will train our predictive models offline to find the exact mathematical weights needed to identify high-value ad impressions. We will export these weights as tiny, flat files.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Real-Time Inference (Java 11):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live bidding bot (the mandatory </w:t>
      </w:r>
      <w:r>
        <w:rPr>
          <w:rFonts w:ascii="Courier New" w:hAnsi="Courier New" w:eastAsia="Courier New" w:cs="Courier New"/>
          <w:color w:val="000000"/>
          <w:sz w:val="20"/>
        </w:rPr>
        <w:t xml:space="preserve">Bid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class) will be written entirely in Java 11. By using primitive arrays and "zero-allocation" programming techniques, we prevent the Java system from ever pausing to clean up memory. This guarantees our algorithm will effortlessly return a bid within the 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rict 5-millisecond time limit.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Business Impact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combining ultra-fast predictions with a self-adjusting budget controller, our solution maximizes the advertiser's return on investment (Score = Clicks + N × Conversions). It ensures that every cent is intelligently spent on high-quality ad spaces while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flawlessly adhering to strict latency and memory limits.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>
        <w:rPr>
          <w:rFonts w:ascii="Times New Roman" w:hAnsi="Times New Roman" w:eastAsia="Times New Roman" w:cs="Times New Roman"/>
          <w:b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7636" cy="93132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3744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4987636" cy="931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2.73pt;height:733.33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/>
      <w:r/>
    </w:p>
    <w:sectPr>
      <w:footnotePr/>
      <w:endnotePr/>
      <w:type w:val="nextPage"/>
      <w:pgSz w:h="16838" w:orient="portrait" w:w="11906"/>
      <w:pgMar w:top="1134" w:right="850" w:bottom="0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2026-02-13T17:45:51Z</dcterms:modified>
</cp:coreProperties>
</file>