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ARES: Adaptive Reinforcement-based Endpoint Security — Calibrated XGBoost Quishing Detection with Calculus-Based Threshold Optimization</w:t>
      </w:r>
    </w:p>
    <w:tbl>
      <w:tblPr>
        <w:tblStyle w:val="Table"/>
        <w:tblW w:w="10106" w:type="dxa"/>
        <w:jc w:val="start"/>
        <w:tblBorders>
          <w:top w:val="nil"/>
          <w:left w:val="nil"/>
          <w:bottom w:val="nil"/>
          <w:right w:val="nil"/>
          <w:insideH w:val="nil"/>
          <w:insideV w:val="nil"/>
        </w:tblBorders>
        <w:tblLayout w:type="fixed"/>
        <w:tblLook w:firstRow="0" w:lastRow="0" w:firstColumn="0" w:lastColumn="0" w:noHBand="0" w:noVBand="0" w:val="0000"/>
      </w:tblPr>
      <w:tblGrid>
        <w:gridCol w:w="2526"/>
        <w:gridCol w:w="2526"/>
        <w:gridCol w:w="2526"/>
        <w:gridCol w:w="2526"/>
      </w:tblGrid>
      <w:tr>
        <w:tc>
          <w:tcPr>
            <w:tcW w:w="2526" w:type="dxa"/>
          </w:tcPr>
          <w:p>
            <w:pPr>
              <w:spacing w:after="0"/>
              <w:ind w:firstLine="0"/>
              <w:jc w:val="center"/>
            </w:pPr>
            <w:r>
              <w:rPr>
                <w:rFonts w:ascii="Times New Roman" w:hAnsi="Times New Roman"/>
                <w:sz w:val="22"/>
              </w:rPr>
              <w:t xml:space="preserve">Aryan S Jain</w:t>
            </w:r>
          </w:p>
          <w:p>
            <w:pPr>
              <w:spacing w:after="0"/>
              <w:ind w:firstLine="0"/>
              <w:jc w:val="center"/>
            </w:pPr>
            <w:r>
              <w:rPr>
                <w:iCs/>
                <w:rFonts w:ascii="Times New Roman" w:hAnsi="Times New Roman"/>
                <w:i/>
                <w:sz w:val="18"/>
              </w:rPr>
              <w:t xml:space="preserve">Dept. of CSE</w:t>
            </w:r>
          </w:p>
          <w:p>
            <w:pPr>
              <w:spacing w:after="0"/>
              <w:ind w:firstLine="0"/>
              <w:jc w:val="center"/>
            </w:pPr>
            <w:r>
              <w:rPr>
                <w:rFonts w:ascii="Times New Roman" w:hAnsi="Times New Roman"/>
                <w:sz w:val="18"/>
              </w:rPr>
              <w:t xml:space="preserve">R V University</w:t>
            </w:r>
          </w:p>
          <w:p>
            <w:pPr>
              <w:spacing w:after="0"/>
              <w:ind w:firstLine="0"/>
              <w:jc w:val="center"/>
            </w:pPr>
            <w:r>
              <w:rPr>
                <w:rFonts w:ascii="Times New Roman" w:hAnsi="Times New Roman"/>
                <w:sz w:val="18"/>
              </w:rPr>
              <w:t xml:space="preserve">Bengaluru, India</w:t>
            </w:r>
          </w:p>
          <w:p>
            <w:pPr>
              <w:spacing w:after="0"/>
              <w:ind w:firstLine="0"/>
              <w:jc w:val="center"/>
            </w:pPr>
            <w:r>
              <w:rPr>
                <w:rFonts w:ascii="Times New Roman" w:hAnsi="Times New Roman"/>
                <w:sz w:val="18"/>
              </w:rPr>
              <w:t xml:space="preserve">USN: 1RUA25CSE0087</w:t>
            </w:r>
          </w:p>
          <w:p>
            <w:pPr>
              <w:spacing w:after="0"/>
              <w:ind w:firstLine="0"/>
              <w:jc w:val="center"/>
            </w:pPr>
            <w:hyperlink r:id="rIdMail1" w:history="1">
              <w:r>
                <w:rPr>
                  <w:rStyle w:val="Hyperlink"/>
                  <w:rFonts w:ascii="Times New Roman" w:hAnsi="Times New Roman" w:cs="Times New Roman" w:eastAsia="Times New Roman"/>
                  <w:sz w:val="16"/>
                  <w:szCs w:val="16"/>
                </w:rPr>
                <w:t xml:space="preserve">aryansjainbtech25@rvu.edu.in</w:t>
              </w:r>
            </w:hyperlink>
          </w:p>
        </w:tc>
        <w:tc>
          <w:tcPr>
            <w:tcW w:w="2526" w:type="dxa"/>
          </w:tcPr>
          <w:p>
            <w:pPr>
              <w:spacing w:after="0"/>
              <w:ind w:firstLine="0"/>
              <w:jc w:val="center"/>
            </w:pPr>
            <w:r>
              <w:rPr>
                <w:rFonts w:ascii="Times New Roman" w:hAnsi="Times New Roman"/>
                <w:sz w:val="22"/>
              </w:rPr>
              <w:t xml:space="preserve">Ashwin Chandrashekar Naik</w:t>
            </w:r>
          </w:p>
          <w:p>
            <w:pPr>
              <w:spacing w:after="0"/>
              <w:ind w:firstLine="0"/>
              <w:jc w:val="center"/>
            </w:pPr>
            <w:r>
              <w:rPr>
                <w:iCs/>
                <w:rFonts w:ascii="Times New Roman" w:hAnsi="Times New Roman"/>
                <w:i/>
                <w:sz w:val="18"/>
              </w:rPr>
              <w:t xml:space="preserve">Dept. of CSE</w:t>
            </w:r>
          </w:p>
          <w:p>
            <w:pPr>
              <w:spacing w:after="0"/>
              <w:ind w:firstLine="0"/>
              <w:jc w:val="center"/>
            </w:pPr>
            <w:r>
              <w:rPr>
                <w:rFonts w:ascii="Times New Roman" w:hAnsi="Times New Roman"/>
                <w:sz w:val="18"/>
              </w:rPr>
              <w:t xml:space="preserve">R V University</w:t>
            </w:r>
          </w:p>
          <w:p>
            <w:pPr>
              <w:spacing w:after="0"/>
              <w:ind w:firstLine="0"/>
              <w:jc w:val="center"/>
            </w:pPr>
            <w:r>
              <w:rPr>
                <w:rFonts w:ascii="Times New Roman" w:hAnsi="Times New Roman"/>
                <w:sz w:val="18"/>
              </w:rPr>
              <w:t xml:space="preserve">Bengaluru, India</w:t>
            </w:r>
          </w:p>
          <w:p>
            <w:pPr>
              <w:spacing w:after="0"/>
              <w:ind w:firstLine="0"/>
              <w:jc w:val="center"/>
            </w:pPr>
            <w:r>
              <w:rPr>
                <w:rFonts w:ascii="Times New Roman" w:hAnsi="Times New Roman"/>
                <w:sz w:val="18"/>
              </w:rPr>
              <w:t xml:space="preserve">USN: 1RUA25CSE0090</w:t>
            </w:r>
          </w:p>
          <w:p>
            <w:pPr>
              <w:spacing w:after="0"/>
              <w:ind w:firstLine="0"/>
              <w:jc w:val="center"/>
            </w:pPr>
            <w:hyperlink r:id="rIdMail2" w:history="1">
              <w:r>
                <w:rPr>
                  <w:rStyle w:val="Hyperlink"/>
                  <w:rFonts w:ascii="Times New Roman" w:hAnsi="Times New Roman" w:cs="Times New Roman" w:eastAsia="Times New Roman"/>
                  <w:sz w:val="16"/>
                  <w:szCs w:val="16"/>
                </w:rPr>
                <w:t xml:space="preserve">ashwinchandrashekarnaikbtech25@rvu.edu.in</w:t>
              </w:r>
            </w:hyperlink>
          </w:p>
        </w:tc>
        <w:tc>
          <w:tcPr>
            <w:tcW w:w="2526" w:type="dxa"/>
          </w:tcPr>
          <w:p>
            <w:pPr>
              <w:spacing w:after="0"/>
              <w:ind w:firstLine="0"/>
              <w:jc w:val="center"/>
            </w:pPr>
            <w:r>
              <w:rPr>
                <w:rFonts w:ascii="Times New Roman" w:hAnsi="Times New Roman"/>
                <w:sz w:val="22"/>
              </w:rPr>
              <w:t xml:space="preserve">Ashwin Rajesha Bhat</w:t>
            </w:r>
          </w:p>
          <w:p>
            <w:pPr>
              <w:spacing w:after="0"/>
              <w:ind w:firstLine="0"/>
              <w:jc w:val="center"/>
            </w:pPr>
            <w:r>
              <w:rPr>
                <w:iCs/>
                <w:rFonts w:ascii="Times New Roman" w:hAnsi="Times New Roman"/>
                <w:i/>
                <w:sz w:val="18"/>
              </w:rPr>
              <w:t xml:space="preserve">Dept. of CSE</w:t>
            </w:r>
          </w:p>
          <w:p>
            <w:pPr>
              <w:spacing w:after="0"/>
              <w:ind w:firstLine="0"/>
              <w:jc w:val="center"/>
            </w:pPr>
            <w:r>
              <w:rPr>
                <w:rFonts w:ascii="Times New Roman" w:hAnsi="Times New Roman"/>
                <w:sz w:val="18"/>
              </w:rPr>
              <w:t xml:space="preserve">R V University</w:t>
            </w:r>
          </w:p>
          <w:p>
            <w:pPr>
              <w:spacing w:after="0"/>
              <w:ind w:firstLine="0"/>
              <w:jc w:val="center"/>
            </w:pPr>
            <w:r>
              <w:rPr>
                <w:rFonts w:ascii="Times New Roman" w:hAnsi="Times New Roman"/>
                <w:sz w:val="18"/>
              </w:rPr>
              <w:t xml:space="preserve">Bengaluru, India</w:t>
            </w:r>
          </w:p>
          <w:p>
            <w:pPr>
              <w:spacing w:after="0"/>
              <w:ind w:firstLine="0"/>
              <w:jc w:val="center"/>
            </w:pPr>
            <w:r>
              <w:rPr>
                <w:rFonts w:ascii="Times New Roman" w:hAnsi="Times New Roman"/>
                <w:sz w:val="18"/>
              </w:rPr>
              <w:t xml:space="preserve">USN: 1RUA25CSE0091</w:t>
            </w:r>
          </w:p>
          <w:p>
            <w:pPr>
              <w:spacing w:after="0"/>
              <w:ind w:firstLine="0"/>
              <w:jc w:val="center"/>
            </w:pPr>
            <w:hyperlink r:id="rIdMail3" w:history="1">
              <w:r>
                <w:rPr>
                  <w:rStyle w:val="Hyperlink"/>
                  <w:rFonts w:ascii="Times New Roman" w:hAnsi="Times New Roman" w:cs="Times New Roman" w:eastAsia="Times New Roman"/>
                  <w:sz w:val="16"/>
                  <w:szCs w:val="16"/>
                </w:rPr>
                <w:t xml:space="preserve">ashwinrajeshabhatbtech25@rvu.edu.in</w:t>
              </w:r>
            </w:hyperlink>
          </w:p>
        </w:tc>
        <w:tc>
          <w:tcPr>
            <w:tcW w:w="2526" w:type="dxa"/>
          </w:tcPr>
          <w:p>
            <w:pPr>
              <w:spacing w:after="0"/>
              <w:ind w:firstLine="0"/>
              <w:jc w:val="center"/>
            </w:pPr>
            <w:r>
              <w:rPr>
                <w:rFonts w:ascii="Times New Roman" w:hAnsi="Times New Roman"/>
                <w:sz w:val="22"/>
              </w:rPr>
              <w:t xml:space="preserve">Ashwin Subramaniam</w:t>
            </w:r>
          </w:p>
          <w:p>
            <w:pPr>
              <w:spacing w:after="0"/>
              <w:ind w:firstLine="0"/>
              <w:jc w:val="center"/>
            </w:pPr>
            <w:r>
              <w:rPr>
                <w:iCs/>
                <w:rFonts w:ascii="Times New Roman" w:hAnsi="Times New Roman"/>
                <w:i/>
                <w:sz w:val="18"/>
              </w:rPr>
              <w:t xml:space="preserve">Dept. of CSE</w:t>
            </w:r>
          </w:p>
          <w:p>
            <w:pPr>
              <w:spacing w:after="0"/>
              <w:ind w:firstLine="0"/>
              <w:jc w:val="center"/>
            </w:pPr>
            <w:r>
              <w:rPr>
                <w:rFonts w:ascii="Times New Roman" w:hAnsi="Times New Roman"/>
                <w:sz w:val="18"/>
              </w:rPr>
              <w:t xml:space="preserve">R V University</w:t>
            </w:r>
          </w:p>
          <w:p>
            <w:pPr>
              <w:spacing w:after="0"/>
              <w:ind w:firstLine="0"/>
              <w:jc w:val="center"/>
            </w:pPr>
            <w:r>
              <w:rPr>
                <w:rFonts w:ascii="Times New Roman" w:hAnsi="Times New Roman"/>
                <w:sz w:val="18"/>
              </w:rPr>
              <w:t xml:space="preserve">Bengaluru, India</w:t>
            </w:r>
          </w:p>
          <w:p>
            <w:pPr>
              <w:spacing w:after="0"/>
              <w:ind w:firstLine="0"/>
              <w:jc w:val="center"/>
            </w:pPr>
            <w:r>
              <w:rPr>
                <w:rFonts w:ascii="Times New Roman" w:hAnsi="Times New Roman"/>
                <w:sz w:val="18"/>
              </w:rPr>
              <w:t xml:space="preserve">USN: 1RUA25CSE0092</w:t>
            </w:r>
          </w:p>
          <w:p>
            <w:pPr>
              <w:spacing w:after="0"/>
              <w:ind w:firstLine="0"/>
              <w:jc w:val="center"/>
            </w:pPr>
            <w:hyperlink r:id="rIdMail4" w:history="1">
              <w:r>
                <w:rPr>
                  <w:rStyle w:val="Hyperlink"/>
                  <w:rFonts w:ascii="Times New Roman" w:hAnsi="Times New Roman" w:cs="Times New Roman" w:eastAsia="Times New Roman"/>
                  <w:sz w:val="16"/>
                  <w:szCs w:val="16"/>
                </w:rPr>
                <w:t xml:space="preserve">ashwinsubramaniambtech25@rvu.edu.in</w:t>
              </w:r>
            </w:hyperlink>
          </w:p>
        </w:tc>
      </w:tr>
    </w:tbl>
    <w:p>
      <w:pPr>
        <w:spacing w:after="0" w:line="120" w:lineRule="exact"/>
        <w:sectPr>
          <w:pgSz w:w="12240" w:h="15840"/>
          <w:pgMar w:top="1080" w:right="900" w:bottom="1440" w:left="900" w:header="720" w:footer="720" w:gutter="0"/>
          <w:cols w:num="1"/>
        </w:sectPr>
      </w:pPr>
    </w:p>
    <w:p>
      <w:pPr>
        <w:pStyle w:val="AbstractText"/>
      </w:pPr>
      <w:r>
        <w:rPr>
          <w:iCs/>
          <w:i/>
          <w:bCs/>
          <w:b/>
        </w:rPr>
        <w:t xml:space="preserve">Abstract</w:t>
      </w:r>
      <w:r>
        <w:rPr>
          <w:bCs/>
          <w:b/>
        </w:rPr>
        <w:t xml:space="preserve">—</w:t>
      </w:r>
      <w:r>
        <w:t xml:space="preserve">Quishing, phishing delivered through malicious QR codes, hides the destination link from the victim until after the scan. This paper presents ARES, an offline detector that decodes the QR payload and classifies the resulting URL using 24 lexical features, without fetching the page. A gradient-boosted tree classifier with group-wise isotonic calibration reaches an area under the ROC curve of 0.9929 on 5083 held-out URLs drawn from 1497 unseen domains. The calibrated probabilities drive an Allow, Review, or Block policy defined by two thresholds. We formulate threshold selection as a constrained minimization of operational cost that weights false alarms, missed attacks, and manual reviews. Because the exact cost is piecewise constant, its derivative vanishes almost everywhere; we therefore replace indicator functions with sigmoids to obtain a differentiable surrogate and minimize it by projected gradient descent, checking first-order, second-order, and Karush–Kuhn–Tucker conditions. Compared with hand-chosen thresholds, the optimized thresholds lower operational cost by 5.1%, cut the false-positive rate by 54%, and reduce manual reviews by 63%, while the false-negative rate rises by 0.56 percentage points. We also discuss limitations, including in-sample threshold tuning and synthetic benign data.</w:t>
      </w:r>
    </w:p>
    <w:p>
      <w:pPr>
        <w:pStyle w:val="AbstractText"/>
      </w:pPr>
      <w:r>
        <w:rPr>
          <w:iCs/>
          <w:i/>
          <w:bCs/>
          <w:b/>
        </w:rPr>
        <w:t xml:space="preserve">Index Terms</w:t>
      </w:r>
      <w:r>
        <w:rPr>
          <w:bCs/>
          <w:b/>
        </w:rPr>
        <w:t xml:space="preserve">—</w:t>
      </w:r>
      <w:r>
        <w:t xml:space="preserve">phishing detection, QR code, quishing, XGBoost, probability calibration, threshold optimization, gradient descent, KKT conditions, cost-sensitive learning, ROC-AUC 0.9929, RV University CIE-3.</w:t>
      </w:r>
    </w:p>
    <w:bookmarkStart w:id="20" w:name="i.-introduction"/>
    <w:p>
      <w:pPr>
        <w:pStyle w:val="Heading1"/>
      </w:pPr>
      <w:r>
        <w:t xml:space="preserve">I. INTRODUCTION</w:t>
      </w:r>
    </w:p>
    <w:p>
      <w:pPr>
        <w:pStyle w:val="FirstParagraph"/>
      </w:pPr>
      <w:r>
        <w:t xml:space="preserve">A QR code encodes a URL that a person cannot read by eye. Attackers exploit this by printing or emailing malicious codes that lead to credential-harvesting pages, a practice known as quishing. Defending against it at scan time is attractive because the decision can be made before any page is loaded. ARES (Adaptive Reinforcement-based Endpoint Security) therefore decodes the QR payload and judges the URL string alone, using lexical features such as entropy, host length, path length, suspicious-word count, shortener and punycode flags, and top-level-domain risk. The probability comes from an XGBoost classifier [1] with isotonic calibration [2].</w:t>
      </w:r>
    </w:p>
    <w:p>
      <w:pPr>
        <w:pStyle w:val="BodyText"/>
      </w:pPr>
      <w:r>
        <w:t xml:space="preserve">Accurate classification is only half of the problem. A deployed system must turn a probability into one of three actions, and the two cut-offs that do so determine how many users are inconvenienced, how many attacks slip through, and how many cases need human attention. These cut-offs are commonly set by intuition. Cost-sensitive learning theory [3] shows that the optimal decision depends on the relative costs of the two error types. Building the pipeline with scikit-learn [4], we extend this to a three-action policy with a review cost, which yields a two-variable constrained optimization problem [5].</w:t>
      </w:r>
    </w:p>
    <w:p>
      <w:pPr>
        <w:pStyle w:val="BodyText"/>
      </w:pPr>
      <w:r>
        <w:t xml:space="preserve">This paper treats that problem with calculus. The principal difficulty is that the operational cost, expressed through error rates, is a step function of the thresholds, so its derivative is zero almost everywhere. Our contributions are:</w:t>
      </w:r>
    </w:p>
    <w:p>
      <w:pPr>
        <w:pStyle w:val="Compact"/>
        <w:numPr>
          <w:ilvl w:val="0"/>
          <w:numId w:val="1001"/>
        </w:numPr>
      </w:pPr>
      <w:r>
        <w:t xml:space="preserve">a formal cost model for the Allow/Review/Block policy with explicit constraints;</w:t>
      </w:r>
    </w:p>
    <w:p>
      <w:pPr>
        <w:pStyle w:val="Compact"/>
        <w:numPr>
          <w:ilvl w:val="0"/>
          <w:numId w:val="1001"/>
        </w:numPr>
      </w:pPr>
      <w:r>
        <w:t xml:space="preserve">a sigmoid-smoothed surrogate whose gradient is non-zero, together with a projected gradient-descent solver [6] and first-order, second-order, and Karush–Kuhn–Tucker (KKT) [7] verification;</w:t>
      </w:r>
    </w:p>
    <w:p>
      <w:pPr>
        <w:pStyle w:val="Compact"/>
        <w:numPr>
          <w:ilvl w:val="0"/>
          <w:numId w:val="1001"/>
        </w:numPr>
      </w:pPr>
      <w:r>
        <w:t xml:space="preserve">an empirical comparison against hand-chosen thresholds on a domain-grouped held-out set, and a comparison with the heuristic reinforcement-style controller [8] included in ARES.</w:t>
      </w:r>
    </w:p>
    <w:p>
      <w:pPr>
        <w:pStyle w:val="FirstParagraph"/>
      </w:pPr>
      <w:r>
        <w:t xml:space="preserve">Section II formulates the problem, Section III derives the surrogate, Section IV presents the gradient and algorithm, Section V verifies optimality, Section VI describes the ARES system, Sections VII and VIII report the experiments, and Sections IX and X discuss limitations and conclude.</w:t>
      </w:r>
    </w:p>
    <w:bookmarkEnd w:id="20"/>
    <w:bookmarkStart w:id="24" w:name="ii.-problem-formulation"/>
    <w:p>
      <w:pPr>
        <w:pStyle w:val="Heading1"/>
      </w:pPr>
      <w:r>
        <w:t xml:space="preserve">II. PROBLEM FORMULATION</w:t>
      </w:r>
    </w:p>
    <w:bookmarkStart w:id="21" w:name="a.-decision-policy-and-variables"/>
    <w:p>
      <w:pPr>
        <w:pStyle w:val="Heading2"/>
      </w:pPr>
      <w:r>
        <w:t xml:space="preserve">A. Decision Policy and Variables</w:t>
      </w:r>
    </w:p>
    <w:p>
      <w:pPr>
        <w:pStyle w:val="FirstParagraph"/>
      </w:pPr>
      <w:r>
        <w:t xml:space="preserve">Let </w:t>
      </w:r>
      <m:oMath>
        <m:sSub>
          <m:e>
            <m:r>
              <m:t>p</m:t>
            </m:r>
          </m:e>
          <m:sub>
            <m:r>
              <m:t>i</m:t>
            </m:r>
          </m:sub>
        </m:sSub>
        <m:r>
          <m:rPr>
            <m:sty m:val="p"/>
          </m:rPr>
          <m:t>∈</m:t>
        </m:r>
        <m:d>
          <m:dPr>
            <m:begChr m:val="["/>
            <m:endChr m:val="]"/>
            <m:sepChr m:val=""/>
            <m:grow/>
          </m:dPr>
          <m:e>
            <m:r>
              <m:t>0</m:t>
            </m:r>
            <m:r>
              <m:rPr>
                <m:sty m:val="p"/>
              </m:rPr>
              <m:t>,</m:t>
            </m:r>
            <m:r>
              <m:t>1</m:t>
            </m:r>
          </m:e>
        </m:d>
      </m:oMath>
      <w:r>
        <w:t xml:space="preserve"> be the calibrated phishing probability of URL </w:t>
      </w:r>
      <m:oMath>
        <m:r>
          <m:t>i</m:t>
        </m:r>
      </m:oMath>
      <w:r>
        <w:t xml:space="preserve"> and </w:t>
      </w:r>
      <m:oMath>
        <m:sSub>
          <m:e>
            <m:r>
              <m:t>y</m:t>
            </m:r>
          </m:e>
          <m:sub>
            <m:r>
              <m:t>i</m:t>
            </m:r>
          </m:sub>
        </m:sSub>
        <m:r>
          <m:rPr>
            <m:sty m:val="p"/>
          </m:rPr>
          <m:t>∈</m:t>
        </m:r>
        <m:r>
          <m:rPr>
            <m:sty m:val="p"/>
          </m:rPr>
          <m:t>{</m:t>
        </m:r>
        <m:r>
          <m:t>0</m:t>
        </m:r>
        <m:r>
          <m:rPr>
            <m:sty m:val="p"/>
          </m:rPr>
          <m:t>,</m:t>
        </m:r>
        <m:r>
          <m:t>1</m:t>
        </m:r>
        <m:r>
          <m:rPr>
            <m:sty m:val="p"/>
          </m:rPr>
          <m:t>}</m:t>
        </m:r>
      </m:oMath>
      <w:r>
        <w:t xml:space="preserve"> its true label (1 = phishing). With review threshold </w:t>
      </w:r>
      <m:oMath>
        <m:sSub>
          <m:e>
            <m:r>
              <m:t>θ</m:t>
            </m:r>
          </m:e>
          <m:sub>
            <m:r>
              <m:t>r</m:t>
            </m:r>
          </m:sub>
        </m:sSub>
      </m:oMath>
      <w:r>
        <w:t xml:space="preserve"> and block threshold </w:t>
      </w:r>
      <m:oMath>
        <m:sSub>
          <m:e>
            <m:r>
              <m:t>θ</m:t>
            </m:r>
          </m:e>
          <m:sub>
            <m:r>
              <m:t>b</m:t>
            </m:r>
          </m:sub>
        </m:sSub>
      </m:oMath>
      <w:r>
        <w:t xml:space="preserve">, the policy is: Allow if </w:t>
      </w:r>
      <m:oMath>
        <m:sSub>
          <m:e>
            <m:r>
              <m:t>p</m:t>
            </m:r>
          </m:e>
          <m:sub>
            <m:r>
              <m:t>i</m:t>
            </m:r>
          </m:sub>
        </m:sSub>
        <m:r>
          <m:rPr>
            <m:sty m:val="p"/>
          </m:rPr>
          <m:t>&lt;</m:t>
        </m:r>
        <m:sSub>
          <m:e>
            <m:r>
              <m:t>θ</m:t>
            </m:r>
          </m:e>
          <m:sub>
            <m:r>
              <m:t>r</m:t>
            </m:r>
          </m:sub>
        </m:sSub>
      </m:oMath>
      <w:r>
        <w:t xml:space="preserve">; Review if </w:t>
      </w:r>
      <m:oMath>
        <m:sSub>
          <m:e>
            <m:r>
              <m:t>θ</m:t>
            </m:r>
          </m:e>
          <m:sub>
            <m:r>
              <m:t>r</m:t>
            </m:r>
          </m:sub>
        </m:sSub>
        <m:r>
          <m:rPr>
            <m:sty m:val="p"/>
          </m:rPr>
          <m:t>≤</m:t>
        </m:r>
        <m:sSub>
          <m:e>
            <m:r>
              <m:t>p</m:t>
            </m:r>
          </m:e>
          <m:sub>
            <m:r>
              <m:t>i</m:t>
            </m:r>
          </m:sub>
        </m:sSub>
        <m:r>
          <m:rPr>
            <m:sty m:val="p"/>
          </m:rPr>
          <m:t>&lt;</m:t>
        </m:r>
        <m:sSub>
          <m:e>
            <m:r>
              <m:t>θ</m:t>
            </m:r>
          </m:e>
          <m:sub>
            <m:r>
              <m:t>b</m:t>
            </m:r>
          </m:sub>
        </m:sSub>
      </m:oMath>
      <w:r>
        <w:t xml:space="preserve">; Block if </w:t>
      </w:r>
      <m:oMath>
        <m:sSub>
          <m:e>
            <m:r>
              <m:t>p</m:t>
            </m:r>
          </m:e>
          <m:sub>
            <m:r>
              <m:t>i</m:t>
            </m:r>
          </m:sub>
        </m:sSub>
        <m:r>
          <m:rPr>
            <m:sty m:val="p"/>
          </m:rPr>
          <m:t>≥</m:t>
        </m:r>
        <m:sSub>
          <m:e>
            <m:r>
              <m:t>θ</m:t>
            </m:r>
          </m:e>
          <m:sub>
            <m:r>
              <m:t>b</m:t>
            </m:r>
          </m:sub>
        </m:sSub>
      </m:oMath>
      <w:r>
        <w:t xml:space="preserve">. Table I lists the notation and the values used.</w:t>
      </w:r>
    </w:p>
    <w:p>
      <w:pPr>
        <w:pStyle w:val="TableCaption"/>
        <w:keepNext/>
      </w:pPr>
      <w:r>
        <w:t xml:space="preserve">TABLE I</w:t>
      </w:r>
    </w:p>
    <w:p>
      <w:pPr>
        <w:pStyle w:val="TableCaption"/>
        <w:keepNext/>
      </w:pPr>
      <w:r>
        <w:t xml:space="preserve">NOTATION AND PARAMETER VALUES</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656"/>
        <w:gridCol w:w="1851"/>
        <w:gridCol w:w="1366"/>
      </w:tblGrid>
      <w:tr>
        <w:trPr>
          <w:tblHeader w:val="true"/>
        </w:trPr>
        <w:tc>
          <w:tcPr>
            <w:tcW w:w="1656" w:type="dxa"/>
            <w:tcBorders>
              <w:bottom w:val="single" w:sz="4" w:color="000000"/>
            </w:tcBorders>
          </w:tcPr>
          <w:p>
            <w:pPr>
              <w:pStyle w:val="Compact"/>
              <w:keepNext/>
              <w:spacing w:after="0"/>
              <w:ind w:firstLine="0"/>
              <w:jc w:val="left"/>
            </w:pPr>
            <w:r>
              <w:rPr>
                <w:rFonts w:ascii="Times New Roman" w:hAnsi="Times New Roman"/>
                <w:b/>
                <w:sz w:val="16"/>
              </w:rPr>
              <w:t xml:space="preserve">Symbol</w:t>
            </w:r>
          </w:p>
        </w:tc>
        <w:tc>
          <w:tcPr>
            <w:tcW w:w="1851" w:type="dxa"/>
            <w:tcBorders>
              <w:bottom w:val="single" w:sz="4" w:color="000000"/>
            </w:tcBorders>
          </w:tcPr>
          <w:p>
            <w:pPr>
              <w:pStyle w:val="Compact"/>
              <w:keepNext/>
              <w:spacing w:after="0"/>
              <w:ind w:firstLine="0"/>
              <w:jc w:val="left"/>
            </w:pPr>
            <w:r>
              <w:rPr>
                <w:rFonts w:ascii="Times New Roman" w:hAnsi="Times New Roman"/>
                <w:b/>
                <w:sz w:val="16"/>
              </w:rPr>
              <w:t xml:space="preserve">Meaning</w:t>
            </w:r>
          </w:p>
        </w:tc>
        <w:tc>
          <w:tcPr>
            <w:tcW w:w="1366" w:type="dxa"/>
            <w:tcBorders>
              <w:bottom w:val="single" w:sz="4" w:color="000000"/>
            </w:tcBorders>
          </w:tcPr>
          <w:p>
            <w:pPr>
              <w:pStyle w:val="Compact"/>
              <w:keepNext/>
              <w:spacing w:after="0"/>
              <w:ind w:firstLine="0"/>
              <w:jc w:val="left"/>
            </w:pPr>
            <w:r>
              <w:rPr>
                <w:rFonts w:ascii="Times New Roman" w:hAnsi="Times New Roman"/>
                <w:b/>
                <w:sz w:val="16"/>
              </w:rPr>
              <w:t xml:space="preserve">Value</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p</w:t>
            </w:r>
            <w:r>
              <w:rPr>
                <w:rFonts w:ascii="Cambria Math" w:hAnsi="Cambria Math" w:cs="Cambria Math" w:eastAsia="Cambria Math"/>
                <w:i/>
                <w:iCs/>
                <w:sz w:val="18"/>
                <w:szCs w:val="18"/>
                <w:vertAlign w:val="subscript"/>
              </w:rPr>
              <w:t xml:space="preserve">i</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calibrated phishing probability of URL i</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 1]</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y</w:t>
            </w:r>
            <w:r>
              <w:rPr>
                <w:rFonts w:ascii="Cambria Math" w:hAnsi="Cambria Math" w:cs="Cambria Math" w:eastAsia="Cambria Math"/>
                <w:i/>
                <w:iCs/>
                <w:sz w:val="18"/>
                <w:szCs w:val="18"/>
                <w:vertAlign w:val="subscript"/>
              </w:rPr>
              <w:t xml:space="preserve">i</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true label of URL i (1 = phishing)</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 1}</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θ</w:t>
            </w:r>
            <w:r>
              <w:rPr>
                <w:rFonts w:ascii="Cambria Math" w:hAnsi="Cambria Math" w:cs="Cambria Math" w:eastAsia="Cambria Math"/>
                <w:i/>
                <w:iCs/>
                <w:sz w:val="18"/>
                <w:szCs w:val="18"/>
                <w:vertAlign w:val="subscript"/>
              </w:rPr>
              <w:t xml:space="preserve">r</w:t>
            </w:r>
            <w:r>
              <w:rPr>
                <w:rFonts w:ascii="Cambria Math" w:hAnsi="Cambria Math" w:cs="Cambria Math" w:eastAsia="Cambria Math"/>
                <w:sz w:val="18"/>
                <w:szCs w:val="18"/>
              </w:rPr>
              <w:t xml:space="preserve">, </w:t>
            </w:r>
            <w:r>
              <w:rPr>
                <w:rFonts w:ascii="Cambria Math" w:hAnsi="Cambria Math" w:cs="Cambria Math" w:eastAsia="Cambria Math"/>
                <w:i/>
                <w:iCs/>
                <w:sz w:val="18"/>
                <w:szCs w:val="18"/>
              </w:rPr>
              <w:t xml:space="preserve">θ</w:t>
            </w:r>
            <w:r>
              <w:rPr>
                <w:rFonts w:ascii="Cambria Math" w:hAnsi="Cambria Math" w:cs="Cambria Math" w:eastAsia="Cambria Math"/>
                <w:i/>
                <w:iCs/>
                <w:sz w:val="18"/>
                <w:szCs w:val="18"/>
                <w:vertAlign w:val="subscript"/>
              </w:rPr>
              <w:t xml:space="preserve">b</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review, block thresholds</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decision variables</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C</w:t>
            </w:r>
            <w:r>
              <w:rPr>
                <w:rFonts w:ascii="Cambria Math" w:hAnsi="Cambria Math" w:cs="Cambria Math" w:eastAsia="Cambria Math"/>
                <w:sz w:val="18"/>
                <w:szCs w:val="18"/>
                <w:vertAlign w:val="subscript"/>
              </w:rPr>
              <w:t xml:space="preserve">FP</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cost of a false positive (user friction)</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1.0</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C</w:t>
            </w:r>
            <w:r>
              <w:rPr>
                <w:rFonts w:ascii="Cambria Math" w:hAnsi="Cambria Math" w:cs="Cambria Math" w:eastAsia="Cambria Math"/>
                <w:sz w:val="18"/>
                <w:szCs w:val="18"/>
                <w:vertAlign w:val="subscript"/>
              </w:rPr>
              <w:t xml:space="preserve">FN</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cost of a false negative (breach)</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5.0</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C</w:t>
            </w:r>
            <w:r>
              <w:rPr>
                <w:rFonts w:ascii="Cambria Math" w:hAnsi="Cambria Math" w:cs="Cambria Math" w:eastAsia="Cambria Math"/>
                <w:sz w:val="18"/>
                <w:szCs w:val="18"/>
                <w:vertAlign w:val="subscript"/>
              </w:rPr>
              <w:t xml:space="preserve">review</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cost of a manual review</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0.5</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λ</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regularization strength</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0.05</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t</w:t>
            </w:r>
            <w:r>
              <w:rPr>
                <w:rFonts w:ascii="Cambria Math" w:hAnsi="Cambria Math" w:cs="Cambria Math" w:eastAsia="Cambria Math"/>
                <w:sz w:val="18"/>
                <w:szCs w:val="18"/>
                <w:vertAlign w:val="subscript"/>
              </w:rPr>
              <w:t xml:space="preserve">0</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regularization centre</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(0.35, 0.70)</w:t>
            </w:r>
          </w:p>
        </w:tc>
      </w:tr>
      <w:tr>
        <w:tc>
          <w:tcPr>
            <w:tcW w:w="1656" w:type="dxa"/>
          </w:tcPr>
          <w:p>
            <w:pPr>
              <w:pStyle w:val="Compact"/>
              <w:keepNext/>
              <w:spacing w:after="0"/>
              <w:ind w:firstLine="0"/>
              <w:jc w:val="left"/>
            </w:pPr>
            <w:r>
              <w:rPr>
                <w:rFonts w:ascii="Cambria Math" w:hAnsi="Cambria Math" w:cs="Cambria Math" w:eastAsia="Cambria Math"/>
                <w:i/>
                <w:iCs/>
                <w:sz w:val="18"/>
                <w:szCs w:val="18"/>
              </w:rPr>
              <w:t xml:space="preserve">τ</w:t>
            </w:r>
          </w:p>
        </w:tc>
        <w:tc>
          <w:tcPr>
            <w:tcW w:w="1851" w:type="dxa"/>
          </w:tcPr>
          <w:p>
            <w:pPr>
              <w:pStyle w:val="Compact"/>
              <w:keepNext/>
              <w:spacing w:after="0"/>
              <w:ind w:firstLine="0"/>
              <w:jc w:val="left"/>
            </w:pPr>
            <w:r>
              <w:rPr>
                <w:rFonts w:ascii="Times New Roman" w:hAnsi="Times New Roman" w:cs="Times New Roman" w:eastAsia="Times New Roman"/>
                <w:sz w:val="16"/>
                <w:szCs w:val="16"/>
              </w:rPr>
              <w:t xml:space="preserve">sigmoid temperature</w:t>
            </w:r>
          </w:p>
        </w:tc>
        <w:tc>
          <w:tcPr>
            <w:tcW w:w="1366" w:type="dxa"/>
          </w:tcPr>
          <w:p>
            <w:pPr>
              <w:pStyle w:val="Compact"/>
              <w:keepNext/>
              <w:spacing w:after="0"/>
              <w:ind w:firstLine="0"/>
              <w:jc w:val="left"/>
            </w:pPr>
            <w:r>
              <w:rPr>
                <w:rFonts w:ascii="Times New Roman" w:hAnsi="Times New Roman" w:cs="Times New Roman" w:eastAsia="Times New Roman"/>
                <w:sz w:val="16"/>
                <w:szCs w:val="16"/>
              </w:rPr>
              <w:t xml:space="preserve">0.05</w:t>
            </w:r>
          </w:p>
        </w:tc>
      </w:tr>
      <w:tr>
        <w:tc>
          <w:tcPr>
            <w:tcW w:w="1656" w:type="dxa"/>
          </w:tcPr>
          <w:p>
            <w:pPr>
              <w:pStyle w:val="Compact"/>
              <w:spacing w:after="0"/>
              <w:ind w:firstLine="0"/>
              <w:jc w:val="left"/>
            </w:pPr>
            <w:r>
              <w:rPr>
                <w:rFonts w:ascii="Cambria Math" w:hAnsi="Cambria Math" w:cs="Cambria Math" w:eastAsia="Cambria Math"/>
                <w:i/>
                <w:iCs/>
                <w:sz w:val="18"/>
                <w:szCs w:val="18"/>
              </w:rPr>
              <w:t xml:space="preserve">η</w:t>
            </w:r>
          </w:p>
        </w:tc>
        <w:tc>
          <w:tcPr>
            <w:tcW w:w="1851" w:type="dxa"/>
          </w:tcPr>
          <w:p>
            <w:pPr>
              <w:pStyle w:val="Compact"/>
              <w:spacing w:after="0"/>
              <w:ind w:firstLine="0"/>
              <w:jc w:val="left"/>
            </w:pPr>
            <w:r>
              <w:rPr>
                <w:rFonts w:ascii="Times New Roman" w:hAnsi="Times New Roman" w:cs="Times New Roman" w:eastAsia="Times New Roman"/>
                <w:sz w:val="16"/>
                <w:szCs w:val="16"/>
              </w:rPr>
              <w:t xml:space="preserve">learning rate</w:t>
            </w:r>
          </w:p>
        </w:tc>
        <w:tc>
          <w:tcPr>
            <w:tcW w:w="1366" w:type="dxa"/>
          </w:tcPr>
          <w:p>
            <w:pPr>
              <w:pStyle w:val="Compact"/>
              <w:spacing w:after="0"/>
              <w:ind w:firstLine="0"/>
              <w:jc w:val="left"/>
            </w:pPr>
            <w:r>
              <w:rPr>
                <w:rFonts w:ascii="Times New Roman" w:hAnsi="Times New Roman" w:cs="Times New Roman" w:eastAsia="Times New Roman"/>
                <w:sz w:val="16"/>
                <w:szCs w:val="16"/>
              </w:rPr>
              <w:t xml:space="preserve">0.05</w:t>
            </w:r>
          </w:p>
        </w:tc>
      </w:tr>
    </w:tbl>
    <w:bookmarkEnd w:id="21"/>
    <w:bookmarkStart w:id="22" w:name="b.-operational-cost"/>
    <w:p>
      <w:pPr>
        <w:pStyle w:val="Heading2"/>
      </w:pPr>
      <w:r>
        <w:t xml:space="preserve">B. Operational Cost</w:t>
      </w:r>
    </w:p>
    <w:p>
      <w:pPr>
        <w:pStyle w:val="FirstParagraph"/>
      </w:pPr>
      <w:r>
        <w:t xml:space="preserve">A false positive is a benign URL that is reviewed or blocked and causes user friction. A false negative is a phishing URL that is allowed or merely reviewed, and may lead to a breach. A review consumes analyst effort whatever its outcome. With </w:t>
      </w:r>
      <m:oMath>
        <m:r>
          <m:rPr>
            <m:sty m:val="b"/>
          </m:rPr>
          <m:t>θ</m:t>
        </m:r>
        <m:r>
          <m:rPr>
            <m:sty m:val="p"/>
          </m:rPr>
          <m:t>=</m:t>
        </m:r>
        <m:d>
          <m:dPr>
            <m:begChr m:val="("/>
            <m:endChr m:val=")"/>
            <m:sepChr m:val=""/>
            <m:grow/>
          </m:dPr>
          <m:e>
            <m:sSub>
              <m:e>
                <m:r>
                  <m:t>θ</m:t>
                </m:r>
              </m:e>
              <m:sub>
                <m:r>
                  <m:t>r</m:t>
                </m:r>
              </m:sub>
            </m:sSub>
            <m:r>
              <m:rPr>
                <m:sty m:val="p"/>
              </m:rPr>
              <m:t>,</m:t>
            </m:r>
            <m:sSub>
              <m:e>
                <m:r>
                  <m:t>θ</m:t>
                </m:r>
              </m:e>
              <m:sub>
                <m:r>
                  <m:t>b</m:t>
                </m:r>
              </m:sub>
            </m:sSub>
          </m:e>
        </m:d>
      </m:oMath>
      <w:r>
        <w:t xml:space="preserve">, the hard objective is</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r>
                <m:t>J</m:t>
              </m:r>
              <m:d>
                <m:dPr>
                  <m:begChr m:val="("/>
                  <m:endChr m:val=")"/>
                  <m:sepChr m:val=""/>
                  <m:grow/>
                </m:dPr>
                <m:e>
                  <m:r>
                    <m:rPr>
                      <m:sty m:val="b"/>
                    </m:rPr>
                    <m:t>θ</m:t>
                  </m:r>
                </m:e>
              </m:d>
              <m:r>
                <m:rPr>
                  <m:sty m:val="p"/>
                </m:rPr>
                <m:t>=</m:t>
              </m:r>
              <m:r>
                <m:t>​</m:t>
              </m:r>
            </m:e>
            <m:e>
              <m:sSub>
                <m:e>
                  <m:r>
                    <m:t>C</m:t>
                  </m:r>
                </m:e>
                <m:sub>
                  <m:r>
                    <m:t>F</m:t>
                  </m:r>
                  <m:r>
                    <m:t>P</m:t>
                  </m:r>
                </m:sub>
              </m:sSub>
              <m:r>
                <m:t> </m:t>
              </m:r>
              <m:r>
                <m:rPr>
                  <m:sty m:val="p"/>
                </m:rPr>
                <m:t>F</m:t>
              </m:r>
              <m:r>
                <m:rPr>
                  <m:sty m:val="p"/>
                </m:rPr>
                <m:t>P</m:t>
              </m:r>
              <m:r>
                <m:rPr>
                  <m:sty m:val="p"/>
                </m:rPr>
                <m:t>R</m:t>
              </m:r>
              <m:r>
                <m:rPr>
                  <m:sty m:val="p"/>
                </m:rPr>
                <m:t>+</m:t>
              </m:r>
              <m:sSub>
                <m:e>
                  <m:r>
                    <m:t>C</m:t>
                  </m:r>
                </m:e>
                <m:sub>
                  <m:r>
                    <m:t>F</m:t>
                  </m:r>
                  <m:r>
                    <m:t>N</m:t>
                  </m:r>
                </m:sub>
              </m:sSub>
              <m:r>
                <m:t> </m:t>
              </m:r>
              <m:r>
                <m:rPr>
                  <m:sty m:val="p"/>
                </m:rPr>
                <m:t>F</m:t>
              </m:r>
              <m:r>
                <m:rPr>
                  <m:sty m:val="p"/>
                </m:rPr>
                <m:t>N</m:t>
              </m:r>
              <m:r>
                <m:rPr>
                  <m:sty m:val="p"/>
                </m:rPr>
                <m:t>R</m:t>
              </m:r>
              <m:r>
                <m:rPr>
                  <m:sty m:val="p"/>
                </m:rPr>
                <m:t>+</m:t>
              </m:r>
              <m:sSub>
                <m:e>
                  <m:r>
                    <m:t>C</m:t>
                  </m:r>
                </m:e>
                <m:sub>
                  <m:r>
                    <m:rPr>
                      <m:sty m:val="p"/>
                    </m:rPr>
                    <m:t>review</m:t>
                  </m:r>
                </m:sub>
              </m:sSub>
              <m:r>
                <m:t> </m:t>
              </m:r>
              <m:r>
                <m:rPr>
                  <m:sty m:val="p"/>
                </m:rPr>
                <m:t>R</m:t>
              </m:r>
              <m:r>
                <m:rPr>
                  <m:sty m:val="p"/>
                </m:rPr>
                <m:t>R</m:t>
              </m:r>
            </m:e>
          </m:mr>
          <m:mr>
            <m:e/>
            <m:e>
              <m:r>
                <m:rPr>
                  <m:sty m:val="p"/>
                </m:rPr>
                <m:t>+</m:t>
              </m:r>
              <m:r>
                <m:t>λ</m:t>
              </m:r>
              <m:r>
                <m:rPr>
                  <m:sty m:val="p"/>
                </m:rPr>
                <m:t>∥</m:t>
              </m:r>
              <m:r>
                <m:rPr>
                  <m:sty m:val="b"/>
                </m:rPr>
                <m:t>θ</m:t>
              </m:r>
              <m:r>
                <m:rPr>
                  <m:sty m:val="p"/>
                </m:rPr>
                <m:t>−</m:t>
              </m:r>
              <m:sSub>
                <m:e>
                  <m:r>
                    <m:rPr>
                      <m:sty m:val="b"/>
                    </m:rPr>
                    <m:t>t</m:t>
                  </m:r>
                </m:e>
                <m:sub>
                  <m:r>
                    <m:t>0</m:t>
                  </m:r>
                </m:sub>
              </m:sSub>
              <m:sSup>
                <m:e>
                  <m:r>
                    <m:rPr>
                      <m:sty m:val="p"/>
                    </m:rPr>
                    <m:t>∥</m:t>
                  </m:r>
                </m:e>
                <m:sup>
                  <m:r>
                    <m:t>2</m:t>
                  </m:r>
                </m:sup>
              </m:sSup>
            </m:e>
          </m:mr>
        </m:m>
      </m:oMath>
      <w:r>
        <w:tab/>
      </w:r>
      <w:r>
        <w:rPr>
          <w:rFonts w:ascii="Times New Roman" w:hAnsi="Times New Roman"/>
        </w:rPr>
        <w:t>(1)</w:t>
      </w:r>
    </w:p>
    <w:p>
      <w:pPr>
        <w:pStyle w:val="FirstParagraph"/>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r>
                <m:rPr>
                  <m:sty m:val="p"/>
                </m:rPr>
                <m:t>F</m:t>
              </m:r>
              <m:r>
                <m:rPr>
                  <m:sty m:val="p"/>
                </m:rPr>
                <m:t>P</m:t>
              </m:r>
              <m:r>
                <m:rPr>
                  <m:sty m:val="p"/>
                </m:rPr>
                <m:t>R</m:t>
              </m:r>
            </m:e>
            <m:e>
              <m:r>
                <m:rPr>
                  <m:sty m:val="p"/>
                </m:rPr>
                <m:t>=</m:t>
              </m:r>
              <m:f>
                <m:fPr>
                  <m:type m:val="bar"/>
                </m:fPr>
                <m:num>
                  <m:r>
                    <m:t>F</m:t>
                  </m:r>
                  <m:sSub>
                    <m:e>
                      <m:r>
                        <m:t>P</m:t>
                      </m:r>
                    </m:e>
                    <m:sub>
                      <m:r>
                        <m:t>r</m:t>
                      </m:r>
                      <m:r>
                        <m:t>e</m:t>
                      </m:r>
                      <m:r>
                        <m:t>v</m:t>
                      </m:r>
                    </m:sub>
                  </m:sSub>
                  <m:r>
                    <m:rPr>
                      <m:sty m:val="p"/>
                    </m:rPr>
                    <m:t>+</m:t>
                  </m:r>
                  <m:r>
                    <m:t>F</m:t>
                  </m:r>
                  <m:sSub>
                    <m:e>
                      <m:r>
                        <m:t>P</m:t>
                      </m:r>
                    </m:e>
                    <m:sub>
                      <m:r>
                        <m:t>b</m:t>
                      </m:r>
                      <m:r>
                        <m:t>l</m:t>
                      </m:r>
                      <m:r>
                        <m:t>k</m:t>
                      </m:r>
                    </m:sub>
                  </m:sSub>
                </m:num>
                <m:den>
                  <m:sSub>
                    <m:e>
                      <m:r>
                        <m:t>N</m:t>
                      </m:r>
                    </m:e>
                    <m:sub>
                      <m:r>
                        <m:t>b</m:t>
                      </m:r>
                    </m:sub>
                  </m:sSub>
                </m:den>
              </m:f>
            </m:e>
          </m:mr>
          <m:mr>
            <m:e>
              <m:r>
                <m:rPr>
                  <m:sty m:val="p"/>
                </m:rPr>
                <m:t>F</m:t>
              </m:r>
              <m:r>
                <m:rPr>
                  <m:sty m:val="p"/>
                </m:rPr>
                <m:t>N</m:t>
              </m:r>
              <m:r>
                <m:rPr>
                  <m:sty m:val="p"/>
                </m:rPr>
                <m:t>R</m:t>
              </m:r>
            </m:e>
            <m:e>
              <m:r>
                <m:rPr>
                  <m:sty m:val="p"/>
                </m:rPr>
                <m:t>=</m:t>
              </m:r>
              <m:f>
                <m:fPr>
                  <m:type m:val="bar"/>
                </m:fPr>
                <m:num>
                  <m:r>
                    <m:t>F</m:t>
                  </m:r>
                  <m:sSub>
                    <m:e>
                      <m:r>
                        <m:t>N</m:t>
                      </m:r>
                    </m:e>
                    <m:sub>
                      <m:r>
                        <m:t>a</m:t>
                      </m:r>
                      <m:r>
                        <m:t>l</m:t>
                      </m:r>
                      <m:r>
                        <m:t>w</m:t>
                      </m:r>
                    </m:sub>
                  </m:sSub>
                  <m:r>
                    <m:rPr>
                      <m:sty m:val="p"/>
                    </m:rPr>
                    <m:t>+</m:t>
                  </m:r>
                  <m:r>
                    <m:t>F</m:t>
                  </m:r>
                  <m:sSub>
                    <m:e>
                      <m:r>
                        <m:t>N</m:t>
                      </m:r>
                    </m:e>
                    <m:sub>
                      <m:r>
                        <m:t>r</m:t>
                      </m:r>
                      <m:r>
                        <m:t>e</m:t>
                      </m:r>
                      <m:r>
                        <m:t>v</m:t>
                      </m:r>
                    </m:sub>
                  </m:sSub>
                </m:num>
                <m:den>
                  <m:sSub>
                    <m:e>
                      <m:r>
                        <m:t>N</m:t>
                      </m:r>
                    </m:e>
                    <m:sub>
                      <m:r>
                        <m:t>p</m:t>
                      </m:r>
                    </m:sub>
                  </m:sSub>
                </m:den>
              </m:f>
            </m:e>
          </m:mr>
          <m:mr>
            <m:e>
              <m:r>
                <m:rPr>
                  <m:sty m:val="p"/>
                </m:rPr>
                <m:t>R</m:t>
              </m:r>
              <m:r>
                <m:rPr>
                  <m:sty m:val="p"/>
                </m:rPr>
                <m:t>R</m:t>
              </m:r>
            </m:e>
            <m:e>
              <m:r>
                <m:rPr>
                  <m:sty m:val="p"/>
                </m:rPr>
                <m:t>=</m:t>
              </m:r>
              <m:f>
                <m:fPr>
                  <m:type m:val="bar"/>
                </m:fPr>
                <m:num>
                  <m:sSub>
                    <m:e>
                      <m:r>
                        <m:t>N</m:t>
                      </m:r>
                    </m:e>
                    <m:sub>
                      <m:r>
                        <m:t>r</m:t>
                      </m:r>
                      <m:r>
                        <m:t>e</m:t>
                      </m:r>
                      <m:r>
                        <m:t>v</m:t>
                      </m:r>
                    </m:sub>
                  </m:sSub>
                </m:num>
                <m:den>
                  <m:r>
                    <m:t>N</m:t>
                  </m:r>
                </m:den>
              </m:f>
            </m:e>
          </m:mr>
        </m:m>
      </m:oMath>
      <w:r>
        <w:tab/>
      </w:r>
      <w:r>
        <w:rPr>
          <w:rFonts w:ascii="Times New Roman" w:hAnsi="Times New Roman"/>
        </w:rPr>
        <w:t>(2)</w:t>
      </w:r>
    </w:p>
    <w:p>
      <w:pPr>
        <w:pStyle w:val="FirstParagraph"/>
      </w:pPr>
      <w:r>
        <w:t xml:space="preserve">where </w:t>
      </w:r>
      <m:oMath>
        <m:sSub>
          <m:e>
            <m:r>
              <m:t>N</m:t>
            </m:r>
          </m:e>
          <m:sub>
            <m:r>
              <m:t>b</m:t>
            </m:r>
          </m:sub>
        </m:sSub>
      </m:oMath>
      <w:r>
        <w:t xml:space="preserve">, </w:t>
      </w:r>
      <m:oMath>
        <m:sSub>
          <m:e>
            <m:r>
              <m:t>N</m:t>
            </m:r>
          </m:e>
          <m:sub>
            <m:r>
              <m:t>p</m:t>
            </m:r>
          </m:sub>
        </m:sSub>
      </m:oMath>
      <w:r>
        <w:t xml:space="preserve">, and </w:t>
      </w:r>
      <m:oMath>
        <m:r>
          <m:t>N</m:t>
        </m:r>
      </m:oMath>
      <w:r>
        <w:t xml:space="preserve"> are the numbers of benign, phishing, and all URLs. The quadratic term equals </w:t>
      </w:r>
      <m:oMath>
        <m:r>
          <m:t>0.05</m:t>
        </m:r>
        <m:d>
          <m:dPr>
            <m:begChr m:val="["/>
            <m:endChr m:val="]"/>
            <m:sepChr m:val=""/>
            <m:grow/>
          </m:dPr>
          <m:e>
            <m:sSup>
              <m:e>
                <m:d>
                  <m:dPr>
                    <m:begChr m:val="("/>
                    <m:endChr m:val=")"/>
                    <m:sepChr m:val=""/>
                    <m:grow/>
                  </m:dPr>
                  <m:e>
                    <m:sSub>
                      <m:e>
                        <m:r>
                          <m:t>θ</m:t>
                        </m:r>
                      </m:e>
                      <m:sub>
                        <m:r>
                          <m:t>r</m:t>
                        </m:r>
                      </m:sub>
                    </m:sSub>
                    <m:r>
                      <m:rPr>
                        <m:sty m:val="p"/>
                      </m:rPr>
                      <m:t>−</m:t>
                    </m:r>
                    <m:r>
                      <m:t>0.35</m:t>
                    </m:r>
                  </m:e>
                </m:d>
              </m:e>
              <m:sup>
                <m:r>
                  <m:t>2</m:t>
                </m:r>
              </m:sup>
            </m:sSup>
            <m:r>
              <m:rPr>
                <m:sty m:val="p"/>
              </m:rPr>
              <m:t>+</m:t>
            </m:r>
            <m:sSup>
              <m:e>
                <m:d>
                  <m:dPr>
                    <m:begChr m:val="("/>
                    <m:endChr m:val=")"/>
                    <m:sepChr m:val=""/>
                    <m:grow/>
                  </m:dPr>
                  <m:e>
                    <m:sSub>
                      <m:e>
                        <m:r>
                          <m:t>θ</m:t>
                        </m:r>
                      </m:e>
                      <m:sub>
                        <m:r>
                          <m:t>b</m:t>
                        </m:r>
                      </m:sub>
                    </m:sSub>
                    <m:r>
                      <m:rPr>
                        <m:sty m:val="p"/>
                      </m:rPr>
                      <m:t>−</m:t>
                    </m:r>
                    <m:r>
                      <m:t>0.70</m:t>
                    </m:r>
                  </m:e>
                </m:d>
              </m:e>
              <m:sup>
                <m:r>
                  <m:t>2</m:t>
                </m:r>
              </m:sup>
            </m:sSup>
          </m:e>
        </m:d>
      </m:oMath>
      <w:r>
        <w:t xml:space="preserve">. It has curvature </w:t>
      </w:r>
      <m:oMath>
        <m:r>
          <m:t>2</m:t>
        </m:r>
        <m:r>
          <m:t>λ</m:t>
        </m:r>
        <m:r>
          <m:rPr>
            <m:sty m:val="p"/>
          </m:rPr>
          <m:t>=</m:t>
        </m:r>
        <m:r>
          <m:t>0.1</m:t>
        </m:r>
        <m:r>
          <m:rPr>
            <m:sty m:val="p"/>
          </m:rPr>
          <m:t>&gt;</m:t>
        </m:r>
        <m:r>
          <m:t>0</m:t>
        </m:r>
      </m:oMath>
      <w:r>
        <w:t xml:space="preserve"> in each coordinate, which discourages needlessly extreme thresholds [5]. The implementation also adds </w:t>
      </w:r>
      <m:oMath>
        <m:sSup>
          <m:e>
            <m:r>
              <m:t>10</m:t>
            </m:r>
          </m:e>
          <m:sup>
            <m:r>
              <m:rPr>
                <m:sty m:val="p"/>
              </m:rPr>
              <m:t>−</m:t>
            </m:r>
            <m:r>
              <m:t>3</m:t>
            </m:r>
          </m:sup>
        </m:sSup>
      </m:oMath>
      <w:r>
        <w:t xml:space="preserve"> to each rate when evaluating the hard cost.</w:t>
      </w:r>
    </w:p>
    <w:bookmarkEnd w:id="22"/>
    <w:bookmarkStart w:id="23" w:name="c.-constraints"/>
    <w:p>
      <w:pPr>
        <w:pStyle w:val="Heading2"/>
      </w:pPr>
      <w:r>
        <w:t xml:space="preserve">C. Constraints</w:t>
      </w:r>
    </w:p>
    <w:p>
      <w:pPr>
        <w:pStyle w:val="FirstParagraph"/>
      </w:pPr>
      <w:r>
        <w:t xml:space="preserve">The thresholds must satisfy</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r>
                <m:t>0.15</m:t>
              </m:r>
            </m:e>
            <m:e>
              <m:r>
                <m:rPr>
                  <m:sty m:val="p"/>
                </m:rPr>
                <m:t>≤</m:t>
              </m:r>
              <m:sSub>
                <m:e>
                  <m:r>
                    <m:t>θ</m:t>
                  </m:r>
                </m:e>
                <m:sub>
                  <m:r>
                    <m:t>r</m:t>
                  </m:r>
                </m:sub>
              </m:sSub>
              <m:r>
                <m:rPr>
                  <m:sty m:val="p"/>
                </m:rPr>
                <m:t>≤</m:t>
              </m:r>
              <m:r>
                <m:t>0.60</m:t>
              </m:r>
            </m:e>
          </m:mr>
          <m:mr>
            <m:e>
              <m:r>
                <m:t>0.45</m:t>
              </m:r>
            </m:e>
            <m:e>
              <m:r>
                <m:rPr>
                  <m:sty m:val="p"/>
                </m:rPr>
                <m:t>≤</m:t>
              </m:r>
              <m:sSub>
                <m:e>
                  <m:r>
                    <m:t>θ</m:t>
                  </m:r>
                </m:e>
                <m:sub>
                  <m:r>
                    <m:t>b</m:t>
                  </m:r>
                </m:sub>
              </m:sSub>
              <m:r>
                <m:rPr>
                  <m:sty m:val="p"/>
                </m:rPr>
                <m:t>≤</m:t>
              </m:r>
              <m:r>
                <m:t>0.95</m:t>
              </m:r>
            </m:e>
          </m:mr>
          <m:mr>
            <m:e>
              <m:sSub>
                <m:e>
                  <m:r>
                    <m:t>θ</m:t>
                  </m:r>
                </m:e>
                <m:sub>
                  <m:r>
                    <m:t>b</m:t>
                  </m:r>
                </m:sub>
              </m:sSub>
              <m:r>
                <m:rPr>
                  <m:sty m:val="p"/>
                </m:rPr>
                <m:t>−</m:t>
              </m:r>
              <m:sSub>
                <m:e>
                  <m:r>
                    <m:t>θ</m:t>
                  </m:r>
                </m:e>
                <m:sub>
                  <m:r>
                    <m:t>r</m:t>
                  </m:r>
                </m:sub>
              </m:sSub>
            </m:e>
            <m:e>
              <m:r>
                <m:rPr>
                  <m:sty m:val="p"/>
                </m:rPr>
                <m:t>≥</m:t>
              </m:r>
              <m:r>
                <m:t>0.15</m:t>
              </m:r>
            </m:e>
          </m:mr>
        </m:m>
      </m:oMath>
      <w:r>
        <w:tab/>
      </w:r>
      <w:r>
        <w:rPr>
          <w:rFonts w:ascii="Times New Roman" w:hAnsi="Times New Roman"/>
        </w:rPr>
        <w:t>(3)</w:t>
      </w:r>
    </w:p>
    <w:p>
      <w:pPr>
        <w:pStyle w:val="FirstParagraph"/>
      </w:pPr>
      <w:r>
        <w:t xml:space="preserve">The gap constraint guarantees a non-empty Review band.</w:t>
      </w:r>
    </w:p>
    <w:bookmarkEnd w:id="23"/>
    <w:bookmarkEnd w:id="24"/>
    <w:bookmarkStart w:id="30" w:name="iii.-a-differentiable-surrogate"/>
    <w:p>
      <w:pPr>
        <w:pStyle w:val="Heading1"/>
      </w:pPr>
      <w:r>
        <w:t xml:space="preserve">III. A DIFFERENTIABLE SURROGATE</w:t>
      </w:r>
    </w:p>
    <w:bookmarkStart w:id="28" w:name="X80e47c62056c87e05ba6e639d82dd84ab09265c"/>
    <w:p>
      <w:pPr>
        <w:pStyle w:val="Heading2"/>
      </w:pPr>
      <w:r>
        <w:t xml:space="preserve">A. Why Gradient Descent Fails on the Hard Cost</w:t>
      </w:r>
    </w:p>
    <w:p>
      <w:pPr>
        <w:pStyle w:val="FirstParagraph"/>
      </w:pPr>
      <w:r>
        <w:t xml:space="preserve">Every rate in </w:t>
      </w:r>
      <m:oMath>
        <m:r>
          <m:t>J</m:t>
        </m:r>
      </m:oMath>
      <w:r>
        <w:t xml:space="preserve"> is a sum of indicators, for example</w:t>
      </w:r>
    </w:p>
    <w:p>
      <w:pPr>
        <w:pStyle w:val="BodyText"/>
        <w:tabs>
          <w:tab w:val="center" w:pos="2436"/>
          <w:tab w:val="right" w:pos="4873"/>
        </w:tabs>
        <w:spacing w:before="80" w:after="80"/>
        <w:ind w:firstLine="0"/>
        <w:jc w:val="left"/>
      </w:pPr>
      <w:r>
        <w:tab/>
      </w:r>
      <m:oMath>
        <m:r>
          <m:rPr>
            <m:sty m:val="p"/>
          </m:rPr>
          <m:t>F</m:t>
        </m:r>
        <m:r>
          <m:rPr>
            <m:sty m:val="p"/>
          </m:rPr>
          <m:t>P</m:t>
        </m:r>
        <m:r>
          <m:rPr>
            <m:sty m:val="p"/>
          </m:rPr>
          <m:t>R</m:t>
        </m:r>
        <m:d>
          <m:dPr>
            <m:begChr m:val="("/>
            <m:endChr m:val=")"/>
            <m:sepChr m:val=""/>
            <m:grow/>
          </m:dPr>
          <m:e>
            <m:r>
              <m:t>θ</m:t>
            </m:r>
          </m:e>
        </m:d>
        <m:r>
          <m:rPr>
            <m:sty m:val="p"/>
          </m:rPr>
          <m:t>=</m:t>
        </m:r>
        <m:f>
          <m:fPr>
            <m:type m:val="bar"/>
          </m:fPr>
          <m:num>
            <m:r>
              <m:t>1</m:t>
            </m:r>
          </m:num>
          <m:den>
            <m:sSub>
              <m:e>
                <m:r>
                  <m:t>N</m:t>
                </m:r>
              </m:e>
              <m:sub>
                <m:r>
                  <m:t>b</m:t>
                </m:r>
              </m:sub>
            </m:sSub>
          </m:den>
        </m:f>
        <m:nary>
          <m:naryPr>
            <m:chr m:val="∑"/>
            <m:limLoc m:val="undOvr"/>
            <m:subHide m:val="off"/>
            <m:supHide m:val="on"/>
          </m:naryPr>
          <m:sub>
            <m:r>
              <m:t>i</m:t>
            </m:r>
            <m:r>
              <m:rPr>
                <m:sty m:val="p"/>
              </m:rPr>
              <m:t>:</m:t>
            </m:r>
            <m:r>
              <m:t> </m:t>
            </m:r>
            <m:sSub>
              <m:e>
                <m:r>
                  <m:t>y</m:t>
                </m:r>
              </m:e>
              <m:sub>
                <m:r>
                  <m:t>i</m:t>
                </m:r>
              </m:sub>
            </m:sSub>
            <m:r>
              <m:rPr>
                <m:sty m:val="p"/>
              </m:rPr>
              <m:t>=</m:t>
            </m:r>
            <m:r>
              <m:t>0</m:t>
            </m:r>
          </m:sub>
          <m:sup>
            <m:r>
              <m:t>​</m:t>
            </m:r>
          </m:sup>
          <m:e>
            <m:r>
              <m:rPr>
                <m:sty m:val="b"/>
              </m:rPr>
              <m:t>1</m:t>
            </m:r>
          </m:e>
        </m:nary>
        <m:r>
          <m:rPr>
            <m:sty m:val="p"/>
          </m:rPr>
          <m:t>{</m:t>
        </m:r>
        <m:sSub>
          <m:e>
            <m:r>
              <m:t>p</m:t>
            </m:r>
          </m:e>
          <m:sub>
            <m:r>
              <m:t>i</m:t>
            </m:r>
          </m:sub>
        </m:sSub>
        <m:r>
          <m:rPr>
            <m:sty m:val="p"/>
          </m:rPr>
          <m:t>≥</m:t>
        </m:r>
        <m:r>
          <m:t>θ</m:t>
        </m:r>
        <m:r>
          <m:rPr>
            <m:sty m:val="p"/>
          </m:rPr>
          <m:t>}</m:t>
        </m:r>
      </m:oMath>
      <w:r>
        <w:tab/>
      </w:r>
      <w:r>
        <w:rPr>
          <w:rFonts w:ascii="Times New Roman" w:hAnsi="Times New Roman"/>
        </w:rPr>
        <w:t>(4)</w:t>
      </w:r>
    </w:p>
    <w:p>
      <w:pPr>
        <w:pStyle w:val="FirstParagraph"/>
      </w:pPr>
      <w:r>
        <w:t xml:space="preserve">Each indicator is a step function of </w:t>
      </w:r>
      <m:oMath>
        <m:r>
          <m:t>θ</m:t>
        </m:r>
      </m:oMath>
      <w:r>
        <w:t xml:space="preserve">, so the derivative is</w:t>
      </w:r>
    </w:p>
    <w:p>
      <w:pPr>
        <w:pStyle w:val="BodyText"/>
        <w:tabs>
          <w:tab w:val="center" w:pos="2436"/>
          <w:tab w:val="right" w:pos="4873"/>
        </w:tabs>
        <w:spacing w:before="80" w:after="80"/>
        <w:ind w:firstLine="0"/>
        <w:jc w:val="left"/>
      </w:pPr>
      <w:r>
        <w:tab/>
      </w:r>
      <m:oMath>
        <m:f>
          <m:fPr>
            <m:type m:val="bar"/>
          </m:fPr>
          <m:num>
            <m:r>
              <m:t>d</m:t>
            </m:r>
          </m:num>
          <m:den>
            <m:r>
              <m:t>d</m:t>
            </m:r>
            <m:r>
              <m:t>θ</m:t>
            </m:r>
          </m:den>
        </m:f>
        <m:r>
          <m:rPr>
            <m:sty m:val="b"/>
          </m:rPr>
          <m:t>1</m:t>
        </m:r>
        <m:r>
          <m:rPr>
            <m:sty m:val="p"/>
          </m:rPr>
          <m:t>{</m:t>
        </m:r>
        <m:sSub>
          <m:e>
            <m:r>
              <m:t>p</m:t>
            </m:r>
          </m:e>
          <m:sub>
            <m:r>
              <m:t>i</m:t>
            </m:r>
          </m:sub>
        </m:sSub>
        <m:r>
          <m:rPr>
            <m:sty m:val="p"/>
          </m:rPr>
          <m:t>≥</m:t>
        </m:r>
        <m:r>
          <m:t>θ</m:t>
        </m:r>
        <m:r>
          <m:rPr>
            <m:sty m:val="p"/>
          </m:rPr>
          <m:t>}</m:t>
        </m:r>
        <m:r>
          <m:rPr>
            <m:sty m:val="p"/>
          </m:rPr>
          <m:t>=</m:t>
        </m:r>
        <m:r>
          <m:t>0</m:t>
        </m:r>
        <m:r>
          <m:t> </m:t>
        </m:r>
        <m:d>
          <m:dPr>
            <m:begChr m:val="("/>
            <m:endChr m:val=")"/>
            <m:sepChr m:val=""/>
            <m:grow/>
          </m:dPr>
          <m:e>
            <m:r>
              <m:t>θ</m:t>
            </m:r>
            <m:r>
              <m:rPr>
                <m:sty m:val="p"/>
              </m:rPr>
              <m:t>≠</m:t>
            </m:r>
            <m:sSub>
              <m:e>
                <m:r>
                  <m:t>p</m:t>
                </m:r>
              </m:e>
              <m:sub>
                <m:r>
                  <m:t>i</m:t>
                </m:r>
              </m:sub>
            </m:sSub>
          </m:e>
        </m:d>
      </m:oMath>
      <w:r>
        <w:tab/>
      </w:r>
      <w:r>
        <w:rPr>
          <w:rFonts w:ascii="Times New Roman" w:hAnsi="Times New Roman"/>
        </w:rPr>
        <w:t>(5)</w:t>
      </w:r>
    </w:p>
    <w:p>
      <w:pPr>
        <w:pStyle w:val="FirstParagraph"/>
      </w:pPr>
      <w:r>
        <w:t xml:space="preserve">and is undefined at </w:t>
      </w:r>
      <m:oMath>
        <m:r>
          <m:t>θ</m:t>
        </m:r>
        <m:r>
          <m:rPr>
            <m:sty m:val="p"/>
          </m:rPr>
          <m:t>=</m:t>
        </m:r>
        <m:sSub>
          <m:e>
            <m:r>
              <m:t>p</m:t>
            </m:r>
          </m:e>
          <m:sub>
            <m:r>
              <m:t>i</m:t>
            </m:r>
          </m:sub>
        </m:sSub>
      </m:oMath>
      <w:r>
        <w:t xml:space="preserve">. Hence </w:t>
      </w:r>
      <m:oMath>
        <m:r>
          <m:t>J</m:t>
        </m:r>
      </m:oMath>
      <w:r>
        <w:t xml:space="preserve"> is piecewise constant (apart from the smooth regularizer) and jumps only when </w:t>
      </w:r>
      <m:oMath>
        <m:r>
          <m:t>θ</m:t>
        </m:r>
      </m:oMath>
      <w:r>
        <w:t xml:space="preserve"> crosses an observed probability. The update </w:t>
      </w:r>
      <m:oMath>
        <m:r>
          <m:t>θ</m:t>
        </m:r>
        <m:r>
          <m:rPr>
            <m:sty m:val="p"/>
          </m:rPr>
          <m:t>←</m:t>
        </m:r>
        <m:r>
          <m:t>θ</m:t>
        </m:r>
        <m:r>
          <m:rPr>
            <m:sty m:val="p"/>
          </m:rPr>
          <m:t>−</m:t>
        </m:r>
        <m:r>
          <m:t>η</m:t>
        </m:r>
        <m:r>
          <m:t> </m:t>
        </m:r>
        <m:r>
          <m:rPr>
            <m:sty m:val="p"/>
          </m:rPr>
          <m:t>∂</m:t>
        </m:r>
        <m:r>
          <m:t>J</m:t>
        </m:r>
        <m:r>
          <m:rPr>
            <m:sty m:val="p"/>
          </m:rPr>
          <m:t>/</m:t>
        </m:r>
        <m:r>
          <m:rPr>
            <m:sty m:val="p"/>
          </m:rPr>
          <m:t>∂</m:t>
        </m:r>
        <m:r>
          <m:t>θ</m:t>
        </m:r>
      </m:oMath>
      <w:r>
        <w:t xml:space="preserve"> would see a zero gradient almost everywhere and never move. Fig. 1 illustrates the contrast.</w:t>
      </w:r>
    </w:p>
    <w:p>
      <w:pPr>
        <w:pStyle w:val="BodyText"/>
        <w:keepNext/>
        <w:spacing w:before="120"/>
        <w:ind w:firstLine="0"/>
        <w:jc w:val="center"/>
      </w:pPr>
      <w:r>
        <w:drawing>
          <wp:inline>
            <wp:extent cx="3017520" cy="1952512"/>
            <wp:effectExtent b="0" l="0" r="0" t="0"/>
            <wp:docPr descr="Hard indicator step versus sigmoid surrogate with tangent at theta=0.35" title="" id="26" name="Picture"/>
            <a:graphic>
              <a:graphicData uri="http://schemas.openxmlformats.org/drawingml/2006/picture">
                <pic:pic>
                  <pic:nvPicPr>
                    <pic:cNvPr descr="fig1.png" id="27" name="Picture"/>
                    <pic:cNvPicPr>
                      <a:picLocks noChangeArrowheads="1" noChangeAspect="1"/>
                    </pic:cNvPicPr>
                  </pic:nvPicPr>
                  <pic:blipFill>
                    <a:blip r:embed="rId25"/>
                    <a:stretch>
                      <a:fillRect/>
                    </a:stretch>
                  </pic:blipFill>
                  <pic:spPr bwMode="auto">
                    <a:xfrm>
                      <a:off x="0" y="0"/>
                      <a:ext cx="3017520" cy="1952512"/>
                    </a:xfrm>
                    <a:prstGeom prst="rect">
                      <a:avLst/>
                    </a:prstGeom>
                    <a:noFill/>
                    <a:ln w="9525">
                      <a:noFill/>
                      <a:headEnd/>
                      <a:tailEnd/>
                    </a:ln>
                  </pic:spPr>
                </pic:pic>
              </a:graphicData>
            </a:graphic>
          </wp:inline>
        </w:drawing>
      </w:r>
    </w:p>
    <w:p>
      <w:pPr>
        <w:pStyle w:val="FigCaption"/>
      </w:pPr>
      <w:r>
        <w:t xml:space="preserve">Fig. 1. Hard indicator </w:t>
      </w:r>
      <m:oMath>
        <m:r>
          <m:rPr>
            <m:sty m:val="p"/>
          </m:rPr>
          <m:t xml:space="preserve">1</m:t>
        </m:r>
        <m:r>
          <m:rPr>
            <m:sty m:val="p"/>
          </m:rPr>
          <m:t xml:space="preserve">{p≥θ}</m:t>
        </m:r>
      </m:oMath>
      <w:r>
        <w:t xml:space="preserve"> versus its sigmoid surrogate for a sample with </w:t>
      </w:r>
      <m:oMath>
        <m:r>
          <m:t xml:space="preserve">p</m:t>
        </m:r>
        <m:r>
          <m:rPr>
            <m:sty m:val="p"/>
          </m:rPr>
          <m:t xml:space="preserve">=</m:t>
        </m:r>
        <m:r>
          <m:rPr>
            <m:sty m:val="p"/>
          </m:rPr>
          <m:t xml:space="preserve">0.5</m:t>
        </m:r>
      </m:oMath>
      <w:r>
        <w:t xml:space="preserve"> and </w:t>
      </w:r>
      <m:oMath>
        <m:r>
          <m:t xml:space="preserve">τ</m:t>
        </m:r>
        <m:r>
          <m:rPr>
            <m:sty m:val="p"/>
          </m:rPr>
          <m:t xml:space="preserve">=</m:t>
        </m:r>
        <m:r>
          <m:rPr>
            <m:sty m:val="p"/>
          </m:rPr>
          <m:t xml:space="preserve">0.05</m:t>
        </m:r>
      </m:oMath>
      <w:r>
        <w:t xml:space="preserve">. At </w:t>
      </w:r>
      <m:oMath>
        <m:r>
          <m:t xml:space="preserve">θ</m:t>
        </m:r>
        <m:r>
          <m:rPr>
            <m:sty m:val="p"/>
          </m:rPr>
          <m:t xml:space="preserve">=</m:t>
        </m:r>
        <m:r>
          <m:rPr>
            <m:sty m:val="p"/>
          </m:rPr>
          <m:t xml:space="preserve">0.35</m:t>
        </m:r>
      </m:oMath>
      <w:r>
        <w:t xml:space="preserve"> the surrogate has value 0.953 and slope −0.904 (tangent shown), whereas the hard indicator has zero slope.</w:t>
      </w:r>
    </w:p>
    <w:bookmarkEnd w:id="28"/>
    <w:bookmarkStart w:id="29" w:name="b.-sigmoid-smoothing"/>
    <w:p>
      <w:pPr>
        <w:pStyle w:val="Heading2"/>
      </w:pPr>
      <w:r>
        <w:t xml:space="preserve">B. Sigmoid Smoothing</w:t>
      </w:r>
    </w:p>
    <w:p>
      <w:pPr>
        <w:pStyle w:val="FirstParagraph"/>
      </w:pPr>
      <w:r>
        <w:t xml:space="preserve">Let </w:t>
      </w:r>
      <m:oMath>
        <m:r>
          <m:t>σ</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t xml:space="preserve">. For each sample define</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sSub>
                <m:e>
                  <m:r>
                    <m:t>s</m:t>
                  </m:r>
                </m:e>
                <m:sub>
                  <m:r>
                    <m:t>r</m:t>
                  </m:r>
                  <m:r>
                    <m:rPr>
                      <m:sty m:val="p"/>
                    </m:rPr>
                    <m:t>,</m:t>
                  </m:r>
                  <m:r>
                    <m:t>i</m:t>
                  </m:r>
                </m:sub>
              </m:sSub>
            </m:e>
            <m:e>
              <m:r>
                <m:rPr>
                  <m:sty m:val="p"/>
                </m:rPr>
                <m:t>=</m:t>
              </m:r>
              <m:r>
                <m:t>σ</m:t>
              </m:r>
              <m:r>
                <m:t>​</m:t>
              </m:r>
              <m:d>
                <m:dPr>
                  <m:begChr m:val="("/>
                  <m:endChr m:val=")"/>
                  <m:sepChr m:val=""/>
                  <m:grow/>
                </m:dPr>
                <m:e>
                  <m:f>
                    <m:fPr>
                      <m:type m:val="bar"/>
                    </m:fPr>
                    <m:num>
                      <m:sSub>
                        <m:e>
                          <m:r>
                            <m:t>p</m:t>
                          </m:r>
                        </m:e>
                        <m:sub>
                          <m:r>
                            <m:t>i</m:t>
                          </m:r>
                        </m:sub>
                      </m:sSub>
                      <m:r>
                        <m:rPr>
                          <m:sty m:val="p"/>
                        </m:rPr>
                        <m:t>−</m:t>
                      </m:r>
                      <m:sSub>
                        <m:e>
                          <m:r>
                            <m:t>θ</m:t>
                          </m:r>
                        </m:e>
                        <m:sub>
                          <m:r>
                            <m:t>r</m:t>
                          </m:r>
                        </m:sub>
                      </m:sSub>
                    </m:num>
                    <m:den>
                      <m:r>
                        <m:t>τ</m:t>
                      </m:r>
                    </m:den>
                  </m:f>
                </m:e>
              </m:d>
              <m:r>
                <m:rPr>
                  <m:sty m:val="p"/>
                </m:rPr>
                <m:t>≈</m:t>
              </m:r>
              <m:r>
                <m:rPr>
                  <m:sty m:val="b"/>
                </m:rPr>
                <m:t>1</m:t>
              </m:r>
              <m:r>
                <m:rPr>
                  <m:sty m:val="p"/>
                </m:rPr>
                <m:t>{</m:t>
              </m:r>
              <m:sSub>
                <m:e>
                  <m:r>
                    <m:t>p</m:t>
                  </m:r>
                </m:e>
                <m:sub>
                  <m:r>
                    <m:t>i</m:t>
                  </m:r>
                </m:sub>
              </m:sSub>
              <m:r>
                <m:rPr>
                  <m:sty m:val="p"/>
                </m:rPr>
                <m:t>≥</m:t>
              </m:r>
              <m:sSub>
                <m:e>
                  <m:r>
                    <m:t>θ</m:t>
                  </m:r>
                </m:e>
                <m:sub>
                  <m:r>
                    <m:t>r</m:t>
                  </m:r>
                </m:sub>
              </m:sSub>
              <m:r>
                <m:rPr>
                  <m:sty m:val="p"/>
                </m:rPr>
                <m:t>}</m:t>
              </m:r>
            </m:e>
          </m:mr>
          <m:mr>
            <m:e>
              <m:sSub>
                <m:e>
                  <m:r>
                    <m:t>s</m:t>
                  </m:r>
                </m:e>
                <m:sub>
                  <m:r>
                    <m:t>b</m:t>
                  </m:r>
                  <m:r>
                    <m:rPr>
                      <m:sty m:val="p"/>
                    </m:rPr>
                    <m:t>,</m:t>
                  </m:r>
                  <m:r>
                    <m:t>i</m:t>
                  </m:r>
                </m:sub>
              </m:sSub>
            </m:e>
            <m:e>
              <m:r>
                <m:rPr>
                  <m:sty m:val="p"/>
                </m:rPr>
                <m:t>=</m:t>
              </m:r>
              <m:r>
                <m:t>σ</m:t>
              </m:r>
              <m:r>
                <m:t>​</m:t>
              </m:r>
              <m:d>
                <m:dPr>
                  <m:begChr m:val="("/>
                  <m:endChr m:val=")"/>
                  <m:sepChr m:val=""/>
                  <m:grow/>
                </m:dPr>
                <m:e>
                  <m:f>
                    <m:fPr>
                      <m:type m:val="bar"/>
                    </m:fPr>
                    <m:num>
                      <m:sSub>
                        <m:e>
                          <m:r>
                            <m:t>p</m:t>
                          </m:r>
                        </m:e>
                        <m:sub>
                          <m:r>
                            <m:t>i</m:t>
                          </m:r>
                        </m:sub>
                      </m:sSub>
                      <m:r>
                        <m:rPr>
                          <m:sty m:val="p"/>
                        </m:rPr>
                        <m:t>−</m:t>
                      </m:r>
                      <m:sSub>
                        <m:e>
                          <m:r>
                            <m:t>θ</m:t>
                          </m:r>
                        </m:e>
                        <m:sub>
                          <m:r>
                            <m:t>b</m:t>
                          </m:r>
                        </m:sub>
                      </m:sSub>
                    </m:num>
                    <m:den>
                      <m:r>
                        <m:t>τ</m:t>
                      </m:r>
                    </m:den>
                  </m:f>
                </m:e>
              </m:d>
              <m:r>
                <m:rPr>
                  <m:sty m:val="p"/>
                </m:rPr>
                <m:t>≈</m:t>
              </m:r>
              <m:r>
                <m:rPr>
                  <m:sty m:val="b"/>
                </m:rPr>
                <m:t>1</m:t>
              </m:r>
              <m:r>
                <m:rPr>
                  <m:sty m:val="p"/>
                </m:rPr>
                <m:t>{</m:t>
              </m:r>
              <m:sSub>
                <m:e>
                  <m:r>
                    <m:t>p</m:t>
                  </m:r>
                </m:e>
                <m:sub>
                  <m:r>
                    <m:t>i</m:t>
                  </m:r>
                </m:sub>
              </m:sSub>
              <m:r>
                <m:rPr>
                  <m:sty m:val="p"/>
                </m:rPr>
                <m:t>≥</m:t>
              </m:r>
              <m:sSub>
                <m:e>
                  <m:r>
                    <m:t>θ</m:t>
                  </m:r>
                </m:e>
                <m:sub>
                  <m:r>
                    <m:t>b</m:t>
                  </m:r>
                </m:sub>
              </m:sSub>
              <m:r>
                <m:rPr>
                  <m:sty m:val="p"/>
                </m:rPr>
                <m:t>}</m:t>
              </m:r>
            </m:e>
          </m:mr>
        </m:m>
      </m:oMath>
      <w:r>
        <w:tab/>
      </w:r>
      <w:r>
        <w:rPr>
          <w:rFonts w:ascii="Times New Roman" w:hAnsi="Times New Roman"/>
        </w:rPr>
        <w:t>(6)</w:t>
      </w:r>
    </w:p>
    <w:p>
      <w:pPr>
        <w:pStyle w:val="FirstParagraph"/>
      </w:pPr>
      <w:r>
        <w:t xml:space="preserve">The smoothed rates are</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acc>
                <m:accPr>
                  <m:chr m:val="̃"/>
                </m:accPr>
                <m:e>
                  <m:r>
                    <m:rPr>
                      <m:sty m:val="p"/>
                    </m:rPr>
                    <m:t>F</m:t>
                  </m:r>
                  <m:r>
                    <m:rPr>
                      <m:sty m:val="p"/>
                    </m:rPr>
                    <m:t>P</m:t>
                  </m:r>
                  <m:r>
                    <m:rPr>
                      <m:sty m:val="p"/>
                    </m:rPr>
                    <m:t>R</m:t>
                  </m:r>
                </m:e>
              </m:acc>
            </m:e>
            <m:e>
              <m:r>
                <m:rPr>
                  <m:sty m:val="p"/>
                </m:rPr>
                <m:t>=</m:t>
              </m:r>
              <m:f>
                <m:fPr>
                  <m:type m:val="bar"/>
                </m:fPr>
                <m:num>
                  <m:r>
                    <m:t>1</m:t>
                  </m:r>
                </m:num>
                <m:den>
                  <m:sSub>
                    <m:e>
                      <m:r>
                        <m:t>N</m:t>
                      </m:r>
                    </m:e>
                    <m:sub>
                      <m:r>
                        <m:t>b</m:t>
                      </m:r>
                    </m:sub>
                  </m:sSub>
                </m:den>
              </m:f>
              <m:nary>
                <m:naryPr>
                  <m:chr m:val="∑"/>
                  <m:limLoc m:val="undOvr"/>
                  <m:subHide m:val="off"/>
                  <m:supHide m:val="on"/>
                </m:naryPr>
                <m:sub>
                  <m:sSub>
                    <m:e>
                      <m:r>
                        <m:t>y</m:t>
                      </m:r>
                    </m:e>
                    <m:sub>
                      <m:r>
                        <m:t>i</m:t>
                      </m:r>
                    </m:sub>
                  </m:sSub>
                  <m:r>
                    <m:rPr>
                      <m:sty m:val="p"/>
                    </m:rPr>
                    <m:t>=</m:t>
                  </m:r>
                  <m:r>
                    <m:t>0</m:t>
                  </m:r>
                </m:sub>
                <m:sup>
                  <m:r>
                    <m:t>​</m:t>
                  </m:r>
                </m:sup>
                <m:e>
                  <m:sSub>
                    <m:e>
                      <m:r>
                        <m:t>s</m:t>
                      </m:r>
                    </m:e>
                    <m:sub>
                      <m:r>
                        <m:t>r</m:t>
                      </m:r>
                      <m:r>
                        <m:rPr>
                          <m:sty m:val="p"/>
                        </m:rPr>
                        <m:t>,</m:t>
                      </m:r>
                      <m:r>
                        <m:t>i</m:t>
                      </m:r>
                    </m:sub>
                  </m:sSub>
                </m:e>
              </m:nary>
            </m:e>
          </m:mr>
          <m:mr>
            <m:e>
              <m:acc>
                <m:accPr>
                  <m:chr m:val="̃"/>
                </m:accPr>
                <m:e>
                  <m:r>
                    <m:rPr>
                      <m:sty m:val="p"/>
                    </m:rPr>
                    <m:t>F</m:t>
                  </m:r>
                  <m:r>
                    <m:rPr>
                      <m:sty m:val="p"/>
                    </m:rPr>
                    <m:t>N</m:t>
                  </m:r>
                  <m:r>
                    <m:rPr>
                      <m:sty m:val="p"/>
                    </m:rPr>
                    <m:t>R</m:t>
                  </m:r>
                </m:e>
              </m:acc>
            </m:e>
            <m:e>
              <m:r>
                <m:rPr>
                  <m:sty m:val="p"/>
                </m:rPr>
                <m:t>=</m:t>
              </m:r>
              <m:r>
                <m:t>1</m:t>
              </m:r>
              <m:r>
                <m:rPr>
                  <m:sty m:val="p"/>
                </m:rPr>
                <m:t>−</m:t>
              </m:r>
              <m:f>
                <m:fPr>
                  <m:type m:val="bar"/>
                </m:fPr>
                <m:num>
                  <m:r>
                    <m:t>1</m:t>
                  </m:r>
                </m:num>
                <m:den>
                  <m:sSub>
                    <m:e>
                      <m:r>
                        <m:t>N</m:t>
                      </m:r>
                    </m:e>
                    <m:sub>
                      <m:r>
                        <m:t>p</m:t>
                      </m:r>
                    </m:sub>
                  </m:sSub>
                </m:den>
              </m:f>
              <m:nary>
                <m:naryPr>
                  <m:chr m:val="∑"/>
                  <m:limLoc m:val="undOvr"/>
                  <m:subHide m:val="off"/>
                  <m:supHide m:val="on"/>
                </m:naryPr>
                <m:sub>
                  <m:sSub>
                    <m:e>
                      <m:r>
                        <m:t>y</m:t>
                      </m:r>
                    </m:e>
                    <m:sub>
                      <m:r>
                        <m:t>i</m:t>
                      </m:r>
                    </m:sub>
                  </m:sSub>
                  <m:r>
                    <m:rPr>
                      <m:sty m:val="p"/>
                    </m:rPr>
                    <m:t>=</m:t>
                  </m:r>
                  <m:r>
                    <m:t>1</m:t>
                  </m:r>
                </m:sub>
                <m:sup>
                  <m:r>
                    <m:t>​</m:t>
                  </m:r>
                </m:sup>
                <m:e>
                  <m:sSub>
                    <m:e>
                      <m:r>
                        <m:t>s</m:t>
                      </m:r>
                    </m:e>
                    <m:sub>
                      <m:r>
                        <m:t>b</m:t>
                      </m:r>
                      <m:r>
                        <m:rPr>
                          <m:sty m:val="p"/>
                        </m:rPr>
                        <m:t>,</m:t>
                      </m:r>
                      <m:r>
                        <m:t>i</m:t>
                      </m:r>
                    </m:sub>
                  </m:sSub>
                </m:e>
              </m:nary>
            </m:e>
          </m:mr>
          <m:mr>
            <m:e>
              <m:acc>
                <m:accPr>
                  <m:chr m:val="̃"/>
                </m:accPr>
                <m:e>
                  <m:r>
                    <m:rPr>
                      <m:sty m:val="p"/>
                    </m:rPr>
                    <m:t>R</m:t>
                  </m:r>
                  <m:r>
                    <m:rPr>
                      <m:sty m:val="p"/>
                    </m:rPr>
                    <m:t>R</m:t>
                  </m:r>
                </m:e>
              </m:acc>
            </m:e>
            <m:e>
              <m:r>
                <m:rPr>
                  <m:sty m:val="p"/>
                </m:rPr>
                <m:t>=</m:t>
              </m:r>
              <m:f>
                <m:fPr>
                  <m:type m:val="bar"/>
                </m:fPr>
                <m:num>
                  <m:r>
                    <m:t>1</m:t>
                  </m:r>
                </m:num>
                <m:den>
                  <m:r>
                    <m:t>N</m:t>
                  </m:r>
                </m:den>
              </m:f>
              <m:nary>
                <m:naryPr>
                  <m:chr m:val="∑"/>
                  <m:limLoc m:val="undOvr"/>
                  <m:subHide m:val="off"/>
                  <m:supHide m:val="on"/>
                </m:naryPr>
                <m:sub>
                  <m:r>
                    <m:t>i</m:t>
                  </m:r>
                </m:sub>
                <m:sup>
                  <m:r>
                    <m:t>​</m:t>
                  </m:r>
                </m:sup>
                <m:e>
                  <m:sSub>
                    <m:e>
                      <m:r>
                        <m:t>s</m:t>
                      </m:r>
                    </m:e>
                    <m:sub>
                      <m:r>
                        <m:t>r</m:t>
                      </m:r>
                      <m:r>
                        <m:rPr>
                          <m:sty m:val="p"/>
                        </m:rPr>
                        <m:t>,</m:t>
                      </m:r>
                      <m:r>
                        <m:t>i</m:t>
                      </m:r>
                    </m:sub>
                  </m:sSub>
                </m:e>
              </m:nary>
              <m:d>
                <m:dPr>
                  <m:begChr m:val="("/>
                  <m:endChr m:val=")"/>
                  <m:sepChr m:val=""/>
                  <m:grow/>
                </m:dPr>
                <m:e>
                  <m:r>
                    <m:t>1</m:t>
                  </m:r>
                  <m:r>
                    <m:rPr>
                      <m:sty m:val="p"/>
                    </m:rPr>
                    <m:t>−</m:t>
                  </m:r>
                  <m:sSub>
                    <m:e>
                      <m:r>
                        <m:t>s</m:t>
                      </m:r>
                    </m:e>
                    <m:sub>
                      <m:r>
                        <m:t>b</m:t>
                      </m:r>
                      <m:r>
                        <m:rPr>
                          <m:sty m:val="p"/>
                        </m:rPr>
                        <m:t>,</m:t>
                      </m:r>
                      <m:r>
                        <m:t>i</m:t>
                      </m:r>
                    </m:sub>
                  </m:sSub>
                </m:e>
              </m:d>
            </m:e>
          </m:mr>
        </m:m>
      </m:oMath>
      <w:r>
        <w:tab/>
      </w:r>
      <w:r>
        <w:rPr>
          <w:rFonts w:ascii="Times New Roman" w:hAnsi="Times New Roman"/>
        </w:rPr>
        <w:t>(7)</w:t>
      </w:r>
    </w:p>
    <w:p>
      <w:pPr>
        <w:pStyle w:val="FirstParagraph"/>
      </w:pPr>
      <w:r>
        <w:t xml:space="preserve">and the surrogate objective is</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acc>
                <m:accPr>
                  <m:chr m:val="̃"/>
                </m:accPr>
                <m:e>
                  <m:r>
                    <m:t>J</m:t>
                  </m:r>
                </m:e>
              </m:acc>
              <m:d>
                <m:dPr>
                  <m:begChr m:val="("/>
                  <m:endChr m:val=")"/>
                  <m:sepChr m:val=""/>
                  <m:grow/>
                </m:dPr>
                <m:e>
                  <m:r>
                    <m:rPr>
                      <m:sty m:val="b"/>
                    </m:rPr>
                    <m:t>θ</m:t>
                  </m:r>
                </m:e>
              </m:d>
              <m:r>
                <m:rPr>
                  <m:sty m:val="p"/>
                </m:rPr>
                <m:t>=</m:t>
              </m:r>
              <m:r>
                <m:t>​</m:t>
              </m:r>
            </m:e>
            <m:e>
              <m:sSub>
                <m:e>
                  <m:r>
                    <m:t>C</m:t>
                  </m:r>
                </m:e>
                <m:sub>
                  <m:r>
                    <m:t>F</m:t>
                  </m:r>
                  <m:r>
                    <m:t>P</m:t>
                  </m:r>
                </m:sub>
              </m:sSub>
              <m:acc>
                <m:accPr>
                  <m:chr m:val="̃"/>
                </m:accPr>
                <m:e>
                  <m:r>
                    <m:rPr>
                      <m:sty m:val="p"/>
                    </m:rPr>
                    <m:t>F</m:t>
                  </m:r>
                  <m:r>
                    <m:rPr>
                      <m:sty m:val="p"/>
                    </m:rPr>
                    <m:t>P</m:t>
                  </m:r>
                  <m:r>
                    <m:rPr>
                      <m:sty m:val="p"/>
                    </m:rPr>
                    <m:t>R</m:t>
                  </m:r>
                </m:e>
              </m:acc>
              <m:r>
                <m:rPr>
                  <m:sty m:val="p"/>
                </m:rPr>
                <m:t>+</m:t>
              </m:r>
              <m:sSub>
                <m:e>
                  <m:r>
                    <m:t>C</m:t>
                  </m:r>
                </m:e>
                <m:sub>
                  <m:r>
                    <m:t>F</m:t>
                  </m:r>
                  <m:r>
                    <m:t>N</m:t>
                  </m:r>
                </m:sub>
              </m:sSub>
              <m:acc>
                <m:accPr>
                  <m:chr m:val="̃"/>
                </m:accPr>
                <m:e>
                  <m:r>
                    <m:rPr>
                      <m:sty m:val="p"/>
                    </m:rPr>
                    <m:t>F</m:t>
                  </m:r>
                  <m:r>
                    <m:rPr>
                      <m:sty m:val="p"/>
                    </m:rPr>
                    <m:t>N</m:t>
                  </m:r>
                  <m:r>
                    <m:rPr>
                      <m:sty m:val="p"/>
                    </m:rPr>
                    <m:t>R</m:t>
                  </m:r>
                </m:e>
              </m:acc>
              <m:r>
                <m:rPr>
                  <m:sty m:val="p"/>
                </m:rPr>
                <m:t>+</m:t>
              </m:r>
              <m:sSub>
                <m:e>
                  <m:r>
                    <m:t>C</m:t>
                  </m:r>
                </m:e>
                <m:sub>
                  <m:r>
                    <m:rPr>
                      <m:sty m:val="p"/>
                    </m:rPr>
                    <m:t>review</m:t>
                  </m:r>
                </m:sub>
              </m:sSub>
              <m:acc>
                <m:accPr>
                  <m:chr m:val="̃"/>
                </m:accPr>
                <m:e>
                  <m:r>
                    <m:rPr>
                      <m:sty m:val="p"/>
                    </m:rPr>
                    <m:t>R</m:t>
                  </m:r>
                  <m:r>
                    <m:rPr>
                      <m:sty m:val="p"/>
                    </m:rPr>
                    <m:t>R</m:t>
                  </m:r>
                </m:e>
              </m:acc>
            </m:e>
          </m:mr>
          <m:mr>
            <m:e/>
            <m:e>
              <m:r>
                <m:rPr>
                  <m:sty m:val="p"/>
                </m:rPr>
                <m:t>+</m:t>
              </m:r>
              <m:r>
                <m:t>λ</m:t>
              </m:r>
              <m:r>
                <m:rPr>
                  <m:sty m:val="p"/>
                </m:rPr>
                <m:t>∥</m:t>
              </m:r>
              <m:r>
                <m:rPr>
                  <m:sty m:val="b"/>
                </m:rPr>
                <m:t>θ</m:t>
              </m:r>
              <m:r>
                <m:rPr>
                  <m:sty m:val="p"/>
                </m:rPr>
                <m:t>−</m:t>
              </m:r>
              <m:sSub>
                <m:e>
                  <m:r>
                    <m:rPr>
                      <m:sty m:val="b"/>
                    </m:rPr>
                    <m:t>t</m:t>
                  </m:r>
                </m:e>
                <m:sub>
                  <m:r>
                    <m:t>0</m:t>
                  </m:r>
                </m:sub>
              </m:sSub>
              <m:sSup>
                <m:e>
                  <m:r>
                    <m:rPr>
                      <m:sty m:val="p"/>
                    </m:rPr>
                    <m:t>∥</m:t>
                  </m:r>
                </m:e>
                <m:sup>
                  <m:r>
                    <m:t>2</m:t>
                  </m:r>
                </m:sup>
              </m:sSup>
            </m:e>
          </m:mr>
        </m:m>
      </m:oMath>
      <w:r>
        <w:tab/>
      </w:r>
      <w:r>
        <w:rPr>
          <w:rFonts w:ascii="Times New Roman" w:hAnsi="Times New Roman"/>
        </w:rPr>
        <w:t>(8)</w:t>
      </w:r>
      <w:r>
        <w:br/>
        <w:tab/>
      </w:r>
      <m:oMath>
        <m:sSub>
          <m:e>
            <m:r>
              <m:t xml:space="preserve">C</m:t>
            </m:r>
          </m:e>
          <m:sub>
            <m:r>
              <m:t xml:space="preserve">F</m:t>
            </m:r>
            <m:r>
              <m:t xml:space="preserve">P</m:t>
            </m:r>
          </m:sub>
        </m:sSub>
        <m:r>
          <m:rPr>
            <m:sty m:val="p"/>
          </m:rPr>
          <m:t xml:space="preserve">=</m:t>
        </m:r>
        <m:r>
          <m:rPr>
            <m:sty m:val="p"/>
          </m:rPr>
          <m:t xml:space="preserve">1.0</m:t>
        </m:r>
        <m:r>
          <m:rPr>
            <m:sty m:val="p"/>
          </m:rPr>
          <m:t xml:space="preserve">, </m:t>
        </m:r>
        <m:sSub>
          <m:e>
            <m:r>
              <m:t xml:space="preserve">C</m:t>
            </m:r>
          </m:e>
          <m:sub>
            <m:r>
              <m:t xml:space="preserve">F</m:t>
            </m:r>
            <m:r>
              <m:t xml:space="preserve">N</m:t>
            </m:r>
          </m:sub>
        </m:sSub>
        <m:r>
          <m:rPr>
            <m:sty m:val="p"/>
          </m:rPr>
          <m:t xml:space="preserve">=</m:t>
        </m:r>
        <m:r>
          <m:rPr>
            <m:sty m:val="p"/>
          </m:rPr>
          <m:t xml:space="preserve">5.0</m:t>
        </m:r>
        <m:r>
          <m:rPr>
            <m:sty m:val="p"/>
          </m:rPr>
          <m:t xml:space="preserve">, </m:t>
        </m:r>
        <m:sSub>
          <m:e>
            <m:r>
              <m:t xml:space="preserve">C</m:t>
            </m:r>
          </m:e>
          <m:sub>
            <m:r>
              <m:rPr>
                <m:sty m:val="p"/>
              </m:rPr>
              <m:t xml:space="preserve">review</m:t>
            </m:r>
          </m:sub>
        </m:sSub>
        <m:r>
          <m:rPr>
            <m:sty m:val="p"/>
          </m:rPr>
          <m:t xml:space="preserve">=</m:t>
        </m:r>
        <m:r>
          <m:rPr>
            <m:sty m:val="p"/>
          </m:rPr>
          <m:t xml:space="preserve">0.5</m:t>
        </m:r>
        <m:r>
          <m:rPr>
            <m:sty m:val="p"/>
          </m:rPr>
          <m:t xml:space="preserve">, </m:t>
        </m:r>
        <m:r>
          <m:t xml:space="preserve">λ</m:t>
        </m:r>
        <m:r>
          <m:rPr>
            <m:sty m:val="p"/>
          </m:rPr>
          <m:t xml:space="preserve">=</m:t>
        </m:r>
        <m:r>
          <m:rPr>
            <m:sty m:val="p"/>
          </m:rPr>
          <m:t xml:space="preserve">0.05</m:t>
        </m:r>
      </m:oMath>
    </w:p>
    <w:p>
      <w:pPr>
        <w:pStyle w:val="FirstParagraph"/>
      </w:pPr>
      <w:r>
        <w:t xml:space="preserve">The key identity is</w:t>
      </w:r>
    </w:p>
    <w:p>
      <w:pPr>
        <w:pStyle w:val="BodyText"/>
        <w:tabs>
          <w:tab w:val="center" w:pos="2436"/>
          <w:tab w:val="right" w:pos="4873"/>
        </w:tabs>
        <w:spacing w:before="80" w:after="80"/>
        <w:ind w:firstLine="0"/>
        <w:jc w:val="left"/>
      </w:pPr>
      <w:r>
        <w:tab/>
      </w:r>
      <m:oMath>
        <m:f>
          <m:fPr>
            <m:type m:val="bar"/>
          </m:fPr>
          <m:num>
            <m:r>
              <m:rPr>
                <m:sty m:val="p"/>
              </m:rPr>
              <m:t>∂</m:t>
            </m:r>
          </m:num>
          <m:den>
            <m:r>
              <m:rPr>
                <m:sty m:val="p"/>
              </m:rPr>
              <m:t>∂</m:t>
            </m:r>
            <m:r>
              <m:t>θ</m:t>
            </m:r>
          </m:den>
        </m:f>
        <m:r>
          <m:t> </m:t>
        </m:r>
        <m:r>
          <m:t>σ</m:t>
        </m:r>
        <m:r>
          <m:t>​</m:t>
        </m:r>
        <m:d>
          <m:dPr>
            <m:begChr m:val="("/>
            <m:endChr m:val=")"/>
            <m:sepChr m:val=""/>
            <m:grow/>
          </m:dPr>
          <m:e>
            <m:f>
              <m:fPr>
                <m:type m:val="bar"/>
              </m:fPr>
              <m:num>
                <m:r>
                  <m:t>p</m:t>
                </m:r>
                <m:r>
                  <m:rPr>
                    <m:sty m:val="p"/>
                  </m:rPr>
                  <m:t>−</m:t>
                </m:r>
                <m:r>
                  <m:t>θ</m:t>
                </m:r>
              </m:num>
              <m:den>
                <m:r>
                  <m:t>τ</m:t>
                </m:r>
              </m:den>
            </m:f>
          </m:e>
        </m:d>
        <m:r>
          <m:rPr>
            <m:sty m:val="p"/>
          </m:rPr>
          <m:t>=</m:t>
        </m:r>
        <m:r>
          <m:rPr>
            <m:sty m:val="p"/>
          </m:rPr>
          <m:t>−</m:t>
        </m:r>
        <m:f>
          <m:fPr>
            <m:type m:val="bar"/>
          </m:fPr>
          <m:num>
            <m:r>
              <m:t>s</m:t>
            </m:r>
            <m:d>
              <m:dPr>
                <m:begChr m:val="("/>
                <m:endChr m:val=")"/>
                <m:sepChr m:val=""/>
                <m:grow/>
              </m:dPr>
              <m:e>
                <m:r>
                  <m:t>1</m:t>
                </m:r>
                <m:r>
                  <m:rPr>
                    <m:sty m:val="p"/>
                  </m:rPr>
                  <m:t>−</m:t>
                </m:r>
                <m:r>
                  <m:t>s</m:t>
                </m:r>
              </m:e>
            </m:d>
          </m:num>
          <m:den>
            <m:r>
              <m:t>τ</m:t>
            </m:r>
          </m:den>
        </m:f>
      </m:oMath>
      <w:r>
        <w:tab/>
      </w:r>
      <w:r>
        <w:rPr>
          <w:rFonts w:ascii="Times New Roman" w:hAnsi="Times New Roman"/>
        </w:rPr>
        <w:t>(9)</w:t>
      </w:r>
    </w:p>
    <w:p>
      <w:pPr>
        <w:pStyle w:val="FirstParagraph"/>
      </w:pPr>
      <w:r>
        <w:t xml:space="preserve">which is non-zero for every finite </w:t>
      </w:r>
      <m:oMath>
        <m:r>
          <m:t>p</m:t>
        </m:r>
      </m:oMath>
      <w:r>
        <w:t xml:space="preserve"> and </w:t>
      </w:r>
      <m:oMath>
        <m:r>
          <m:t>θ</m:t>
        </m:r>
      </m:oMath>
      <w:r>
        <w:t xml:space="preserve">. The temperature trades fidelity against smoothness: smaller </w:t>
      </w:r>
      <m:oMath>
        <m:r>
          <m:t>τ</m:t>
        </m:r>
      </m:oMath>
      <w:r>
        <w:t xml:space="preserve"> approximates the step more closely but gives a steeper surface. We use </w:t>
      </w:r>
      <m:oMath>
        <m:r>
          <m:t>τ</m:t>
        </m:r>
        <m:r>
          <m:rPr>
            <m:sty m:val="p"/>
          </m:rPr>
          <m:t>=</m:t>
        </m:r>
        <m:r>
          <m:t>0.05</m:t>
        </m:r>
      </m:oMath>
      <w:r>
        <w:t xml:space="preserve"> and clip the sigmoid argument to </w:t>
      </w:r>
      <m:oMath>
        <m:d>
          <m:dPr>
            <m:begChr m:val="["/>
            <m:endChr m:val="]"/>
            <m:sepChr m:val=""/>
            <m:grow/>
          </m:dPr>
          <m:e>
            <m:r>
              <m:rPr>
                <m:sty m:val="p"/>
              </m:rPr>
              <m:t>−</m:t>
            </m:r>
            <m:r>
              <m:t>30</m:t>
            </m:r>
            <m:r>
              <m:rPr>
                <m:sty m:val="p"/>
              </m:rPr>
              <m:t>,</m:t>
            </m:r>
            <m:r>
              <m:t>30</m:t>
            </m:r>
          </m:e>
        </m:d>
      </m:oMath>
      <w:r>
        <w:t xml:space="preserve"> for numerical safety.</w:t>
      </w:r>
    </w:p>
    <w:bookmarkEnd w:id="29"/>
    <w:bookmarkEnd w:id="30"/>
    <w:bookmarkStart w:id="35" w:name="iv.-gradient-and-optimization-algorithm"/>
    <w:p>
      <w:pPr>
        <w:pStyle w:val="Heading1"/>
      </w:pPr>
      <w:r>
        <w:t xml:space="preserve">IV. GRADIENT AND OPTIMIZATION ALGORITHM</w:t>
      </w:r>
    </w:p>
    <w:bookmarkStart w:id="31" w:name="a.-analytic-gradient"/>
    <w:p>
      <w:pPr>
        <w:pStyle w:val="Heading2"/>
      </w:pPr>
      <w:r>
        <w:t xml:space="preserve">A. Analytic Gradient</w:t>
      </w:r>
    </w:p>
    <w:p>
      <w:pPr>
        <w:pStyle w:val="FirstParagraph"/>
      </w:pPr>
      <w:r>
        <w:t xml:space="preserve">Applying the chain rule with </w:t>
      </w:r>
      <m:oMath>
        <m:r>
          <m:t>σ</m:t>
        </m:r>
        <m:r>
          <m:rPr>
            <m:sty m:val="p"/>
          </m:rPr>
          <m:t>′</m:t>
        </m:r>
        <m:r>
          <m:rPr>
            <m:sty m:val="p"/>
          </m:rPr>
          <m:t>=</m:t>
        </m:r>
        <m:r>
          <m:t>σ</m:t>
        </m:r>
        <m:d>
          <m:dPr>
            <m:begChr m:val="("/>
            <m:endChr m:val=")"/>
            <m:sepChr m:val=""/>
            <m:grow/>
          </m:dPr>
          <m:e>
            <m:r>
              <m:t>1</m:t>
            </m:r>
            <m:r>
              <m:rPr>
                <m:sty m:val="p"/>
              </m:rPr>
              <m:t>−</m:t>
            </m:r>
            <m:r>
              <m:t>σ</m:t>
            </m:r>
          </m:e>
        </m:d>
      </m:oMath>
      <w:r>
        <w:t xml:space="preserve"> gives</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f>
                <m:fPr>
                  <m:type m:val="bar"/>
                </m:fPr>
                <m:num>
                  <m:r>
                    <m:rPr>
                      <m:sty m:val="p"/>
                    </m:rPr>
                    <m:t>∂</m:t>
                  </m:r>
                  <m:acc>
                    <m:accPr>
                      <m:chr m:val="̃"/>
                    </m:accPr>
                    <m:e>
                      <m:r>
                        <m:t>J</m:t>
                      </m:r>
                    </m:e>
                  </m:acc>
                </m:num>
                <m:den>
                  <m:r>
                    <m:rPr>
                      <m:sty m:val="p"/>
                    </m:rPr>
                    <m:t>∂</m:t>
                  </m:r>
                  <m:sSub>
                    <m:e>
                      <m:r>
                        <m:t>θ</m:t>
                      </m:r>
                    </m:e>
                    <m:sub>
                      <m:r>
                        <m:t>r</m:t>
                      </m:r>
                    </m:sub>
                  </m:sSub>
                </m:den>
              </m:f>
              <m:r>
                <m:rPr>
                  <m:sty m:val="p"/>
                </m:rPr>
                <m:t>=</m:t>
              </m:r>
              <m:r>
                <m:t>​</m:t>
              </m:r>
            </m:e>
            <m:e>
              <m:r>
                <m:rPr>
                  <m:sty m:val="p"/>
                </m:rPr>
                <m:t>−</m:t>
              </m:r>
              <m:f>
                <m:fPr>
                  <m:type m:val="bar"/>
                </m:fPr>
                <m:num>
                  <m:sSub>
                    <m:e>
                      <m:r>
                        <m:t>C</m:t>
                      </m:r>
                    </m:e>
                    <m:sub>
                      <m:r>
                        <m:t>F</m:t>
                      </m:r>
                      <m:r>
                        <m:t>P</m:t>
                      </m:r>
                    </m:sub>
                  </m:sSub>
                </m:num>
                <m:den>
                  <m:r>
                    <m:t>τ</m:t>
                  </m:r>
                  <m:sSub>
                    <m:e>
                      <m:r>
                        <m:t>N</m:t>
                      </m:r>
                    </m:e>
                    <m:sub>
                      <m:r>
                        <m:t>b</m:t>
                      </m:r>
                    </m:sub>
                  </m:sSub>
                </m:den>
              </m:f>
              <m:nary>
                <m:naryPr>
                  <m:chr m:val="∑"/>
                  <m:limLoc m:val="undOvr"/>
                  <m:subHide m:val="off"/>
                  <m:supHide m:val="on"/>
                </m:naryPr>
                <m:sub>
                  <m:sSub>
                    <m:e>
                      <m:r>
                        <m:t>y</m:t>
                      </m:r>
                    </m:e>
                    <m:sub>
                      <m:r>
                        <m:t>i</m:t>
                      </m:r>
                    </m:sub>
                  </m:sSub>
                  <m:r>
                    <m:rPr>
                      <m:sty m:val="p"/>
                    </m:rPr>
                    <m:t>=</m:t>
                  </m:r>
                  <m:r>
                    <m:t>0</m:t>
                  </m:r>
                </m:sub>
                <m:sup>
                  <m:r>
                    <m:t>​</m:t>
                  </m:r>
                </m:sup>
                <m:e>
                  <m:sSub>
                    <m:e>
                      <m:r>
                        <m:t>s</m:t>
                      </m:r>
                    </m:e>
                    <m:sub>
                      <m:r>
                        <m:t>r</m:t>
                      </m:r>
                      <m:r>
                        <m:rPr>
                          <m:sty m:val="p"/>
                        </m:rPr>
                        <m:t>,</m:t>
                      </m:r>
                      <m:r>
                        <m:t>i</m:t>
                      </m:r>
                    </m:sub>
                  </m:sSub>
                </m:e>
              </m:nary>
              <m:d>
                <m:dPr>
                  <m:begChr m:val="("/>
                  <m:endChr m:val=")"/>
                  <m:sepChr m:val=""/>
                  <m:grow/>
                </m:dPr>
                <m:e>
                  <m:r>
                    <m:t>1</m:t>
                  </m:r>
                  <m:r>
                    <m:rPr>
                      <m:sty m:val="p"/>
                    </m:rPr>
                    <m:t>−</m:t>
                  </m:r>
                  <m:sSub>
                    <m:e>
                      <m:r>
                        <m:t>s</m:t>
                      </m:r>
                    </m:e>
                    <m:sub>
                      <m:r>
                        <m:t>r</m:t>
                      </m:r>
                      <m:r>
                        <m:rPr>
                          <m:sty m:val="p"/>
                        </m:rPr>
                        <m:t>,</m:t>
                      </m:r>
                      <m:r>
                        <m:t>i</m:t>
                      </m:r>
                    </m:sub>
                  </m:sSub>
                </m:e>
              </m:d>
            </m:e>
          </m:mr>
          <m:mr>
            <m:e/>
            <m:e>
              <m:r>
                <m:rPr>
                  <m:sty m:val="p"/>
                </m:rPr>
                <m:t>−</m:t>
              </m:r>
              <m:f>
                <m:fPr>
                  <m:type m:val="bar"/>
                </m:fPr>
                <m:num>
                  <m:sSub>
                    <m:e>
                      <m:r>
                        <m:t>C</m:t>
                      </m:r>
                    </m:e>
                    <m:sub>
                      <m:r>
                        <m:rPr>
                          <m:sty m:val="p"/>
                        </m:rPr>
                        <m:t>review</m:t>
                      </m:r>
                    </m:sub>
                  </m:sSub>
                </m:num>
                <m:den>
                  <m:r>
                    <m:t>τ</m:t>
                  </m:r>
                  <m:r>
                    <m:t>N</m:t>
                  </m:r>
                </m:den>
              </m:f>
              <m:nary>
                <m:naryPr>
                  <m:chr m:val="∑"/>
                  <m:limLoc m:val="undOvr"/>
                  <m:subHide m:val="off"/>
                  <m:supHide m:val="on"/>
                </m:naryPr>
                <m:sub>
                  <m:r>
                    <m:t>i</m:t>
                  </m:r>
                </m:sub>
                <m:sup>
                  <m:r>
                    <m:t>​</m:t>
                  </m:r>
                </m:sup>
                <m:e>
                  <m:sSub>
                    <m:e>
                      <m:r>
                        <m:t>s</m:t>
                      </m:r>
                    </m:e>
                    <m:sub>
                      <m:r>
                        <m:t>r</m:t>
                      </m:r>
                      <m:r>
                        <m:rPr>
                          <m:sty m:val="p"/>
                        </m:rPr>
                        <m:t>,</m:t>
                      </m:r>
                      <m:r>
                        <m:t>i</m:t>
                      </m:r>
                    </m:sub>
                  </m:sSub>
                </m:e>
              </m:nary>
              <m:d>
                <m:dPr>
                  <m:begChr m:val="("/>
                  <m:endChr m:val=")"/>
                  <m:sepChr m:val=""/>
                  <m:grow/>
                </m:dPr>
                <m:e>
                  <m:r>
                    <m:t>1</m:t>
                  </m:r>
                  <m:r>
                    <m:rPr>
                      <m:sty m:val="p"/>
                    </m:rPr>
                    <m:t>−</m:t>
                  </m:r>
                  <m:sSub>
                    <m:e>
                      <m:r>
                        <m:t>s</m:t>
                      </m:r>
                    </m:e>
                    <m:sub>
                      <m:r>
                        <m:t>r</m:t>
                      </m:r>
                      <m:r>
                        <m:rPr>
                          <m:sty m:val="p"/>
                        </m:rPr>
                        <m:t>,</m:t>
                      </m:r>
                      <m:r>
                        <m:t>i</m:t>
                      </m:r>
                    </m:sub>
                  </m:sSub>
                </m:e>
              </m:d>
              <m:d>
                <m:dPr>
                  <m:begChr m:val="("/>
                  <m:endChr m:val=")"/>
                  <m:sepChr m:val=""/>
                  <m:grow/>
                </m:dPr>
                <m:e>
                  <m:r>
                    <m:t>1</m:t>
                  </m:r>
                  <m:r>
                    <m:rPr>
                      <m:sty m:val="p"/>
                    </m:rPr>
                    <m:t>−</m:t>
                  </m:r>
                  <m:sSub>
                    <m:e>
                      <m:r>
                        <m:t>s</m:t>
                      </m:r>
                    </m:e>
                    <m:sub>
                      <m:r>
                        <m:t>b</m:t>
                      </m:r>
                      <m:r>
                        <m:rPr>
                          <m:sty m:val="p"/>
                        </m:rPr>
                        <m:t>,</m:t>
                      </m:r>
                      <m:r>
                        <m:t>i</m:t>
                      </m:r>
                    </m:sub>
                  </m:sSub>
                </m:e>
              </m:d>
            </m:e>
          </m:mr>
          <m:mr>
            <m:e/>
            <m:e>
              <m:r>
                <m:rPr>
                  <m:sty m:val="p"/>
                </m:rPr>
                <m:t>+</m:t>
              </m:r>
              <m:r>
                <m:t>2</m:t>
              </m:r>
              <m:r>
                <m:t>λ</m:t>
              </m:r>
              <m:d>
                <m:dPr>
                  <m:begChr m:val="("/>
                  <m:endChr m:val=")"/>
                  <m:sepChr m:val=""/>
                  <m:grow/>
                </m:dPr>
                <m:e>
                  <m:sSub>
                    <m:e>
                      <m:r>
                        <m:t>θ</m:t>
                      </m:r>
                    </m:e>
                    <m:sub>
                      <m:r>
                        <m:t>r</m:t>
                      </m:r>
                    </m:sub>
                  </m:sSub>
                  <m:r>
                    <m:rPr>
                      <m:sty m:val="p"/>
                    </m:rPr>
                    <m:t>−</m:t>
                  </m:r>
                  <m:r>
                    <m:t>0.35</m:t>
                  </m:r>
                </m:e>
              </m:d>
            </m:e>
          </m:mr>
        </m:m>
      </m:oMath>
      <w:r>
        <w:tab/>
      </w:r>
      <w:r>
        <w:rPr>
          <w:rFonts w:ascii="Times New Roman" w:hAnsi="Times New Roman"/>
        </w:rPr>
        <w:t>(10)</w:t>
      </w:r>
      <w:r>
        <w:br/>
        <w:tab/>
      </w:r>
      <m:oMath>
        <m:sSub>
          <m:e>
            <m:r>
              <m:t xml:space="preserve">C</m:t>
            </m:r>
          </m:e>
          <m:sub>
            <m:r>
              <m:t xml:space="preserve">F</m:t>
            </m:r>
            <m:r>
              <m:t xml:space="preserve">P</m:t>
            </m:r>
          </m:sub>
        </m:sSub>
        <m:r>
          <m:rPr>
            <m:sty m:val="p"/>
          </m:rPr>
          <m:t xml:space="preserve">=</m:t>
        </m:r>
        <m:r>
          <m:rPr>
            <m:sty m:val="p"/>
          </m:rPr>
          <m:t xml:space="preserve">1.0</m:t>
        </m:r>
        <m:r>
          <m:rPr>
            <m:sty m:val="p"/>
          </m:rPr>
          <m:t xml:space="preserve">, </m:t>
        </m:r>
        <m:sSub>
          <m:e>
            <m:r>
              <m:t xml:space="preserve">C</m:t>
            </m:r>
          </m:e>
          <m:sub>
            <m:r>
              <m:rPr>
                <m:sty m:val="p"/>
              </m:rPr>
              <m:t xml:space="preserve">review</m:t>
            </m:r>
          </m:sub>
        </m:sSub>
        <m:r>
          <m:rPr>
            <m:sty m:val="p"/>
          </m:rPr>
          <m:t xml:space="preserve">=</m:t>
        </m:r>
        <m:r>
          <m:rPr>
            <m:sty m:val="p"/>
          </m:rPr>
          <m:t xml:space="preserve">0.5</m:t>
        </m:r>
        <m:r>
          <m:rPr>
            <m:sty m:val="p"/>
          </m:rPr>
          <m:t xml:space="preserve">, </m:t>
        </m:r>
        <m:r>
          <m:t xml:space="preserve">λ</m:t>
        </m:r>
        <m:r>
          <m:rPr>
            <m:sty m:val="p"/>
          </m:rPr>
          <m:t xml:space="preserve">=</m:t>
        </m:r>
        <m:r>
          <m:rPr>
            <m:sty m:val="p"/>
          </m:rPr>
          <m:t xml:space="preserve">0.05</m:t>
        </m:r>
      </m:oMath>
    </w:p>
    <w:p>
      <w:pPr>
        <w:pStyle w:val="FirstParagraph"/>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f>
                <m:fPr>
                  <m:type m:val="bar"/>
                </m:fPr>
                <m:num>
                  <m:r>
                    <m:rPr>
                      <m:sty m:val="p"/>
                    </m:rPr>
                    <m:t>∂</m:t>
                  </m:r>
                  <m:acc>
                    <m:accPr>
                      <m:chr m:val="̃"/>
                    </m:accPr>
                    <m:e>
                      <m:r>
                        <m:t>J</m:t>
                      </m:r>
                    </m:e>
                  </m:acc>
                </m:num>
                <m:den>
                  <m:r>
                    <m:rPr>
                      <m:sty m:val="p"/>
                    </m:rPr>
                    <m:t>∂</m:t>
                  </m:r>
                  <m:sSub>
                    <m:e>
                      <m:r>
                        <m:t>θ</m:t>
                      </m:r>
                    </m:e>
                    <m:sub>
                      <m:r>
                        <m:t>b</m:t>
                      </m:r>
                    </m:sub>
                  </m:sSub>
                </m:den>
              </m:f>
              <m:r>
                <m:rPr>
                  <m:sty m:val="p"/>
                </m:rPr>
                <m:t>=</m:t>
              </m:r>
              <m:r>
                <m:t>​</m:t>
              </m:r>
            </m:e>
            <m:e>
              <m:f>
                <m:fPr>
                  <m:type m:val="bar"/>
                </m:fPr>
                <m:num>
                  <m:sSub>
                    <m:e>
                      <m:r>
                        <m:t>C</m:t>
                      </m:r>
                    </m:e>
                    <m:sub>
                      <m:r>
                        <m:t>F</m:t>
                      </m:r>
                      <m:r>
                        <m:t>N</m:t>
                      </m:r>
                    </m:sub>
                  </m:sSub>
                </m:num>
                <m:den>
                  <m:r>
                    <m:t>τ</m:t>
                  </m:r>
                  <m:sSub>
                    <m:e>
                      <m:r>
                        <m:t>N</m:t>
                      </m:r>
                    </m:e>
                    <m:sub>
                      <m:r>
                        <m:t>p</m:t>
                      </m:r>
                    </m:sub>
                  </m:sSub>
                </m:den>
              </m:f>
              <m:nary>
                <m:naryPr>
                  <m:chr m:val="∑"/>
                  <m:limLoc m:val="undOvr"/>
                  <m:subHide m:val="off"/>
                  <m:supHide m:val="on"/>
                </m:naryPr>
                <m:sub>
                  <m:sSub>
                    <m:e>
                      <m:r>
                        <m:t>y</m:t>
                      </m:r>
                    </m:e>
                    <m:sub>
                      <m:r>
                        <m:t>i</m:t>
                      </m:r>
                    </m:sub>
                  </m:sSub>
                  <m:r>
                    <m:rPr>
                      <m:sty m:val="p"/>
                    </m:rPr>
                    <m:t>=</m:t>
                  </m:r>
                  <m:r>
                    <m:t>1</m:t>
                  </m:r>
                </m:sub>
                <m:sup>
                  <m:r>
                    <m:t>​</m:t>
                  </m:r>
                </m:sup>
                <m:e>
                  <m:sSub>
                    <m:e>
                      <m:r>
                        <m:t>s</m:t>
                      </m:r>
                    </m:e>
                    <m:sub>
                      <m:r>
                        <m:t>b</m:t>
                      </m:r>
                      <m:r>
                        <m:rPr>
                          <m:sty m:val="p"/>
                        </m:rPr>
                        <m:t>,</m:t>
                      </m:r>
                      <m:r>
                        <m:t>i</m:t>
                      </m:r>
                    </m:sub>
                  </m:sSub>
                </m:e>
              </m:nary>
              <m:d>
                <m:dPr>
                  <m:begChr m:val="("/>
                  <m:endChr m:val=")"/>
                  <m:sepChr m:val=""/>
                  <m:grow/>
                </m:dPr>
                <m:e>
                  <m:r>
                    <m:t>1</m:t>
                  </m:r>
                  <m:r>
                    <m:rPr>
                      <m:sty m:val="p"/>
                    </m:rPr>
                    <m:t>−</m:t>
                  </m:r>
                  <m:sSub>
                    <m:e>
                      <m:r>
                        <m:t>s</m:t>
                      </m:r>
                    </m:e>
                    <m:sub>
                      <m:r>
                        <m:t>b</m:t>
                      </m:r>
                      <m:r>
                        <m:rPr>
                          <m:sty m:val="p"/>
                        </m:rPr>
                        <m:t>,</m:t>
                      </m:r>
                      <m:r>
                        <m:t>i</m:t>
                      </m:r>
                    </m:sub>
                  </m:sSub>
                </m:e>
              </m:d>
            </m:e>
          </m:mr>
          <m:mr>
            <m:e/>
            <m:e>
              <m:r>
                <m:rPr>
                  <m:sty m:val="p"/>
                </m:rPr>
                <m:t>+</m:t>
              </m:r>
              <m:f>
                <m:fPr>
                  <m:type m:val="bar"/>
                </m:fPr>
                <m:num>
                  <m:sSub>
                    <m:e>
                      <m:r>
                        <m:t>C</m:t>
                      </m:r>
                    </m:e>
                    <m:sub>
                      <m:r>
                        <m:rPr>
                          <m:sty m:val="p"/>
                        </m:rPr>
                        <m:t>review</m:t>
                      </m:r>
                    </m:sub>
                  </m:sSub>
                </m:num>
                <m:den>
                  <m:r>
                    <m:t>τ</m:t>
                  </m:r>
                  <m:r>
                    <m:t>N</m:t>
                  </m:r>
                </m:den>
              </m:f>
              <m:nary>
                <m:naryPr>
                  <m:chr m:val="∑"/>
                  <m:limLoc m:val="undOvr"/>
                  <m:subHide m:val="off"/>
                  <m:supHide m:val="on"/>
                </m:naryPr>
                <m:sub>
                  <m:r>
                    <m:t>i</m:t>
                  </m:r>
                </m:sub>
                <m:sup>
                  <m:r>
                    <m:t>​</m:t>
                  </m:r>
                </m:sup>
                <m:e>
                  <m:sSub>
                    <m:e>
                      <m:r>
                        <m:t>s</m:t>
                      </m:r>
                    </m:e>
                    <m:sub>
                      <m:r>
                        <m:t>r</m:t>
                      </m:r>
                      <m:r>
                        <m:rPr>
                          <m:sty m:val="p"/>
                        </m:rPr>
                        <m:t>,</m:t>
                      </m:r>
                      <m:r>
                        <m:t>i</m:t>
                      </m:r>
                    </m:sub>
                  </m:sSub>
                </m:e>
              </m:nary>
              <m:sSub>
                <m:e>
                  <m:r>
                    <m:t>s</m:t>
                  </m:r>
                </m:e>
                <m:sub>
                  <m:r>
                    <m:t>b</m:t>
                  </m:r>
                  <m:r>
                    <m:rPr>
                      <m:sty m:val="p"/>
                    </m:rPr>
                    <m:t>,</m:t>
                  </m:r>
                  <m:r>
                    <m:t>i</m:t>
                  </m:r>
                </m:sub>
              </m:sSub>
              <m:d>
                <m:dPr>
                  <m:begChr m:val="("/>
                  <m:endChr m:val=")"/>
                  <m:sepChr m:val=""/>
                  <m:grow/>
                </m:dPr>
                <m:e>
                  <m:r>
                    <m:t>1</m:t>
                  </m:r>
                  <m:r>
                    <m:rPr>
                      <m:sty m:val="p"/>
                    </m:rPr>
                    <m:t>−</m:t>
                  </m:r>
                  <m:sSub>
                    <m:e>
                      <m:r>
                        <m:t>s</m:t>
                      </m:r>
                    </m:e>
                    <m:sub>
                      <m:r>
                        <m:t>b</m:t>
                      </m:r>
                      <m:r>
                        <m:rPr>
                          <m:sty m:val="p"/>
                        </m:rPr>
                        <m:t>,</m:t>
                      </m:r>
                      <m:r>
                        <m:t>i</m:t>
                      </m:r>
                    </m:sub>
                  </m:sSub>
                </m:e>
              </m:d>
            </m:e>
          </m:mr>
          <m:mr>
            <m:e/>
            <m:e>
              <m:r>
                <m:rPr>
                  <m:sty m:val="p"/>
                </m:rPr>
                <m:t>+</m:t>
              </m:r>
              <m:r>
                <m:t>2</m:t>
              </m:r>
              <m:r>
                <m:t>λ</m:t>
              </m:r>
              <m:d>
                <m:dPr>
                  <m:begChr m:val="("/>
                  <m:endChr m:val=")"/>
                  <m:sepChr m:val=""/>
                  <m:grow/>
                </m:dPr>
                <m:e>
                  <m:sSub>
                    <m:e>
                      <m:r>
                        <m:t>θ</m:t>
                      </m:r>
                    </m:e>
                    <m:sub>
                      <m:r>
                        <m:t>b</m:t>
                      </m:r>
                    </m:sub>
                  </m:sSub>
                  <m:r>
                    <m:rPr>
                      <m:sty m:val="p"/>
                    </m:rPr>
                    <m:t>−</m:t>
                  </m:r>
                  <m:r>
                    <m:t>0.70</m:t>
                  </m:r>
                </m:e>
              </m:d>
            </m:e>
          </m:mr>
        </m:m>
      </m:oMath>
      <w:r>
        <w:tab/>
      </w:r>
      <w:r>
        <w:rPr>
          <w:rFonts w:ascii="Times New Roman" w:hAnsi="Times New Roman"/>
        </w:rPr>
        <w:t>(11)</w:t>
      </w:r>
      <w:r>
        <w:br/>
        <w:tab/>
      </w:r>
      <m:oMath>
        <m:sSub>
          <m:e>
            <m:r>
              <m:t xml:space="preserve">C</m:t>
            </m:r>
          </m:e>
          <m:sub>
            <m:r>
              <m:t xml:space="preserve">F</m:t>
            </m:r>
            <m:r>
              <m:t xml:space="preserve">N</m:t>
            </m:r>
          </m:sub>
        </m:sSub>
        <m:r>
          <m:rPr>
            <m:sty m:val="p"/>
          </m:rPr>
          <m:t xml:space="preserve">=</m:t>
        </m:r>
        <m:r>
          <m:rPr>
            <m:sty m:val="p"/>
          </m:rPr>
          <m:t xml:space="preserve">5.0</m:t>
        </m:r>
        <m:r>
          <m:rPr>
            <m:sty m:val="p"/>
          </m:rPr>
          <m:t xml:space="preserve">, </m:t>
        </m:r>
        <m:sSub>
          <m:e>
            <m:r>
              <m:t xml:space="preserve">C</m:t>
            </m:r>
          </m:e>
          <m:sub>
            <m:r>
              <m:rPr>
                <m:sty m:val="p"/>
              </m:rPr>
              <m:t xml:space="preserve">review</m:t>
            </m:r>
          </m:sub>
        </m:sSub>
        <m:r>
          <m:rPr>
            <m:sty m:val="p"/>
          </m:rPr>
          <m:t xml:space="preserve">=</m:t>
        </m:r>
        <m:r>
          <m:rPr>
            <m:sty m:val="p"/>
          </m:rPr>
          <m:t xml:space="preserve">0.5</m:t>
        </m:r>
        <m:r>
          <m:rPr>
            <m:sty m:val="p"/>
          </m:rPr>
          <m:t xml:space="preserve">, </m:t>
        </m:r>
        <m:r>
          <m:t xml:space="preserve">λ</m:t>
        </m:r>
        <m:r>
          <m:rPr>
            <m:sty m:val="p"/>
          </m:rPr>
          <m:t xml:space="preserve">=</m:t>
        </m:r>
        <m:r>
          <m:rPr>
            <m:sty m:val="p"/>
          </m:rPr>
          <m:t xml:space="preserve">0.05</m:t>
        </m:r>
      </m:oMath>
    </w:p>
    <w:p>
      <w:pPr>
        <w:pStyle w:val="FirstParagraph"/>
      </w:pPr>
      <w:r>
        <w:t xml:space="preserve">The signs are informative. Raising </w:t>
      </w:r>
      <m:oMath>
        <m:sSub>
          <m:e>
            <m:r>
              <m:t>θ</m:t>
            </m:r>
          </m:e>
          <m:sub>
            <m:r>
              <m:t>r</m:t>
            </m:r>
          </m:sub>
        </m:sSub>
      </m:oMath>
      <w:r>
        <w:t xml:space="preserve"> reduces false positives and reviews, so the first two terms are negative and descent pushes </w:t>
      </w:r>
      <m:oMath>
        <m:sSub>
          <m:e>
            <m:r>
              <m:t>θ</m:t>
            </m:r>
          </m:e>
          <m:sub>
            <m:r>
              <m:t>r</m:t>
            </m:r>
          </m:sub>
        </m:sSub>
      </m:oMath>
      <w:r>
        <w:t xml:space="preserve"> upward. Raising </w:t>
      </w:r>
      <m:oMath>
        <m:sSub>
          <m:e>
            <m:r>
              <m:t>θ</m:t>
            </m:r>
          </m:e>
          <m:sub>
            <m:r>
              <m:t>b</m:t>
            </m:r>
          </m:sub>
        </m:sSub>
      </m:oMath>
      <w:r>
        <w:t xml:space="preserve"> lets more phishing through and widens the Review band, so the first two terms are positive and descent pushes </w:t>
      </w:r>
      <m:oMath>
        <m:sSub>
          <m:e>
            <m:r>
              <m:t>θ</m:t>
            </m:r>
          </m:e>
          <m:sub>
            <m:r>
              <m:t>b</m:t>
            </m:r>
          </m:sub>
        </m:sSub>
      </m:oMath>
      <w:r>
        <w:t xml:space="preserve"> downward.</w:t>
      </w:r>
    </w:p>
    <w:bookmarkEnd w:id="31"/>
    <w:bookmarkStart w:id="32" w:name="b.-numerical-gradient"/>
    <w:p>
      <w:pPr>
        <w:pStyle w:val="Heading2"/>
      </w:pPr>
      <w:r>
        <w:t xml:space="preserve">B. Numerical Gradient</w:t>
      </w:r>
    </w:p>
    <w:p>
      <w:pPr>
        <w:pStyle w:val="FirstParagraph"/>
      </w:pPr>
      <w:r>
        <w:t xml:space="preserve">The implementation evaluates </w:t>
      </w:r>
      <m:oMath>
        <m:acc>
          <m:accPr>
            <m:chr m:val="̃"/>
          </m:accPr>
          <m:e>
            <m:r>
              <m:t>J</m:t>
            </m:r>
          </m:e>
        </m:acc>
      </m:oMath>
      <w:r>
        <w:t xml:space="preserve"> and estimates derivatives by central differences with </w:t>
      </w:r>
      <m:oMath>
        <m:r>
          <m:t>ε</m:t>
        </m:r>
        <m:r>
          <m:rPr>
            <m:sty m:val="p"/>
          </m:rPr>
          <m:t>=</m:t>
        </m:r>
        <m:sSup>
          <m:e>
            <m:r>
              <m:t>10</m:t>
            </m:r>
          </m:e>
          <m:sup>
            <m:r>
              <m:rPr>
                <m:sty m:val="p"/>
              </m:rPr>
              <m:t>−</m:t>
            </m:r>
            <m:r>
              <m:t>4</m:t>
            </m:r>
          </m:sup>
        </m:sSup>
      </m:oMath>
      <w:r>
        <w:t xml:space="preserve">:</w:t>
      </w:r>
    </w:p>
    <w:p>
      <w:pPr>
        <w:pStyle w:val="BodyText"/>
        <w:tabs>
          <w:tab w:val="center" w:pos="2436"/>
          <w:tab w:val="right" w:pos="4873"/>
        </w:tabs>
        <w:spacing w:before="80" w:after="80"/>
        <w:ind w:firstLine="0"/>
        <w:jc w:val="left"/>
      </w:pPr>
      <w:r>
        <w:tab/>
      </w:r>
      <m:oMath>
        <m:f>
          <m:fPr>
            <m:type m:val="bar"/>
          </m:fPr>
          <m:num>
            <m:r>
              <m:rPr>
                <m:sty m:val="p"/>
              </m:rPr>
              <m:t>∂</m:t>
            </m:r>
            <m:acc>
              <m:accPr>
                <m:chr m:val="̃"/>
              </m:accPr>
              <m:e>
                <m:r>
                  <m:t>J</m:t>
                </m:r>
              </m:e>
            </m:acc>
          </m:num>
          <m:den>
            <m:r>
              <m:rPr>
                <m:sty m:val="p"/>
              </m:rPr>
              <m:t>∂</m:t>
            </m:r>
            <m:sSub>
              <m:e>
                <m:r>
                  <m:t>θ</m:t>
                </m:r>
              </m:e>
              <m:sub>
                <m:r>
                  <m:t>r</m:t>
                </m:r>
              </m:sub>
            </m:sSub>
          </m:den>
        </m:f>
        <m:r>
          <m:rPr>
            <m:sty m:val="p"/>
          </m:rPr>
          <m:t>≈</m:t>
        </m:r>
        <m:f>
          <m:fPr>
            <m:type m:val="bar"/>
          </m:fPr>
          <m:num>
            <m:acc>
              <m:accPr>
                <m:chr m:val="̃"/>
              </m:accPr>
              <m:e>
                <m:r>
                  <m:t>J</m:t>
                </m:r>
              </m:e>
            </m:acc>
            <m:d>
              <m:dPr>
                <m:begChr m:val="("/>
                <m:endChr m:val=")"/>
                <m:sepChr m:val=""/>
                <m:grow/>
              </m:dPr>
              <m:e>
                <m:sSub>
                  <m:e>
                    <m:r>
                      <m:t>θ</m:t>
                    </m:r>
                  </m:e>
                  <m:sub>
                    <m:r>
                      <m:t>r</m:t>
                    </m:r>
                  </m:sub>
                </m:sSub>
                <m:r>
                  <m:rPr>
                    <m:sty m:val="p"/>
                  </m:rPr>
                  <m:t>+</m:t>
                </m:r>
                <m:r>
                  <m:t>ε</m:t>
                </m:r>
                <m:r>
                  <m:rPr>
                    <m:sty m:val="p"/>
                  </m:rPr>
                  <m:t>,</m:t>
                </m:r>
                <m:sSub>
                  <m:e>
                    <m:r>
                      <m:t>θ</m:t>
                    </m:r>
                  </m:e>
                  <m:sub>
                    <m:r>
                      <m:t>b</m:t>
                    </m:r>
                  </m:sub>
                </m:sSub>
              </m:e>
            </m:d>
            <m:r>
              <m:rPr>
                <m:sty m:val="p"/>
              </m:rPr>
              <m:t>−</m:t>
            </m:r>
            <m:acc>
              <m:accPr>
                <m:chr m:val="̃"/>
              </m:accPr>
              <m:e>
                <m:r>
                  <m:t>J</m:t>
                </m:r>
              </m:e>
            </m:acc>
            <m:d>
              <m:dPr>
                <m:begChr m:val="("/>
                <m:endChr m:val=")"/>
                <m:sepChr m:val=""/>
                <m:grow/>
              </m:dPr>
              <m:e>
                <m:sSub>
                  <m:e>
                    <m:r>
                      <m:t>θ</m:t>
                    </m:r>
                  </m:e>
                  <m:sub>
                    <m:r>
                      <m:t>r</m:t>
                    </m:r>
                  </m:sub>
                </m:sSub>
                <m:r>
                  <m:rPr>
                    <m:sty m:val="p"/>
                  </m:rPr>
                  <m:t>−</m:t>
                </m:r>
                <m:r>
                  <m:t>ε</m:t>
                </m:r>
                <m:r>
                  <m:rPr>
                    <m:sty m:val="p"/>
                  </m:rPr>
                  <m:t>,</m:t>
                </m:r>
                <m:sSub>
                  <m:e>
                    <m:r>
                      <m:t>θ</m:t>
                    </m:r>
                  </m:e>
                  <m:sub>
                    <m:r>
                      <m:t>b</m:t>
                    </m:r>
                  </m:sub>
                </m:sSub>
              </m:e>
            </m:d>
          </m:num>
          <m:den>
            <m:r>
              <m:t>2</m:t>
            </m:r>
            <m:r>
              <m:t>ε</m:t>
            </m:r>
          </m:den>
        </m:f>
      </m:oMath>
      <w:r>
        <w:tab/>
      </w:r>
      <w:r>
        <w:rPr>
          <w:rFonts w:ascii="Times New Roman" w:hAnsi="Times New Roman"/>
        </w:rPr>
        <w:t>(12)</w:t>
      </w:r>
    </w:p>
    <w:p>
      <w:pPr>
        <w:pStyle w:val="FirstParagraph"/>
      </w:pPr>
      <w:r>
        <w:t xml:space="preserve">and analogously for </w:t>
      </w:r>
      <m:oMath>
        <m:sSub>
          <m:e>
            <m:r>
              <m:t>θ</m:t>
            </m:r>
          </m:e>
          <m:sub>
            <m:r>
              <m:t>b</m:t>
            </m:r>
          </m:sub>
        </m:sSub>
      </m:oMath>
      <w:r>
        <w:t xml:space="preserve">. The analytic expressions serve as a reference for validating this estimate.</w:t>
      </w:r>
    </w:p>
    <w:bookmarkEnd w:id="32"/>
    <w:bookmarkStart w:id="33" w:name="c.-projected-gradient-descent"/>
    <w:p>
      <w:pPr>
        <w:pStyle w:val="Heading2"/>
      </w:pPr>
      <w:r>
        <w:t xml:space="preserve">C. Projected Gradient Descent</w:t>
      </w:r>
    </w:p>
    <w:p>
      <w:pPr>
        <w:pStyle w:val="FirstParagraph"/>
      </w:pPr>
      <w:r>
        <w:t xml:space="preserve">The solver first evaluates </w:t>
      </w:r>
      <m:oMath>
        <m:acc>
          <m:accPr>
            <m:chr m:val="̃"/>
          </m:accPr>
          <m:e>
            <m:r>
              <m:t>J</m:t>
            </m:r>
          </m:e>
        </m:acc>
      </m:oMath>
      <w:r>
        <w:t xml:space="preserve"> on a </w:t>
      </w:r>
      <m:oMath>
        <m:r>
          <m:t>100</m:t>
        </m:r>
        <m:r>
          <m:rPr>
            <m:sty m:val="p"/>
          </m:rPr>
          <m:t>×</m:t>
        </m:r>
        <m:r>
          <m:t>100</m:t>
        </m:r>
      </m:oMath>
      <w:r>
        <w:t xml:space="preserve"> grid over the feasible region and takes the minimizer as the starting point. It then iterates, for at most 200 iterations,</w:t>
      </w:r>
    </w:p>
    <w:p>
      <w:pPr>
        <w:pStyle w:val="BodyText"/>
        <w:tabs>
          <w:tab w:val="center" w:pos="2436"/>
          <w:tab w:val="right" w:pos="4873"/>
        </w:tabs>
        <w:spacing w:before="80" w:after="80"/>
        <w:ind w:firstLine="0"/>
        <w:jc w:val="left"/>
      </w:pPr>
      <w:r>
        <w:tab/>
      </w:r>
      <m:oMath>
        <m:sSub>
          <m:e>
            <m:r>
              <m:rPr>
                <m:sty m:val="b"/>
              </m:rPr>
              <m:t>θ</m:t>
            </m:r>
          </m:e>
          <m:sub>
            <m:r>
              <m:t>k</m:t>
            </m:r>
            <m:r>
              <m:rPr>
                <m:sty m:val="p"/>
              </m:rPr>
              <m:t>+</m:t>
            </m:r>
            <m:r>
              <m:t>1</m:t>
            </m:r>
          </m:sub>
        </m:sSub>
        <m:r>
          <m:rPr>
            <m:sty m:val="p"/>
          </m:rPr>
          <m:t>=</m:t>
        </m:r>
        <m:sSub>
          <m:e>
            <m:r>
              <m:rPr>
                <m:sty m:val="b"/>
              </m:rPr>
              <m:t>θ</m:t>
            </m:r>
          </m:e>
          <m:sub>
            <m:r>
              <m:t>k</m:t>
            </m:r>
          </m:sub>
        </m:sSub>
        <m:r>
          <m:rPr>
            <m:sty m:val="p"/>
          </m:rPr>
          <m:t>−</m:t>
        </m:r>
        <m:r>
          <m:t>η</m:t>
        </m:r>
        <m:r>
          <m:t> </m:t>
        </m:r>
        <m:r>
          <m:rPr>
            <m:sty m:val="p"/>
          </m:rPr>
          <m:t>∇</m:t>
        </m:r>
        <m:acc>
          <m:accPr>
            <m:chr m:val="̃"/>
          </m:accPr>
          <m:e>
            <m:r>
              <m:t>J</m:t>
            </m:r>
          </m:e>
        </m:acc>
        <m:d>
          <m:dPr>
            <m:begChr m:val="("/>
            <m:endChr m:val=")"/>
            <m:sepChr m:val=""/>
            <m:grow/>
          </m:dPr>
          <m:e>
            <m:sSub>
              <m:e>
                <m:r>
                  <m:rPr>
                    <m:sty m:val="b"/>
                  </m:rPr>
                  <m:t>θ</m:t>
                </m:r>
              </m:e>
              <m:sub>
                <m:r>
                  <m:t>k</m:t>
                </m:r>
              </m:sub>
            </m:sSub>
          </m:e>
        </m:d>
        <m:r>
          <m:rPr>
            <m:sty m:val="p"/>
          </m:rPr>
          <m:t>,</m:t>
        </m:r>
        <m:r>
          <m:t>  </m:t>
        </m:r>
        <m:r>
          <m:t>η</m:t>
        </m:r>
        <m:r>
          <m:rPr>
            <m:sty m:val="p"/>
          </m:rPr>
          <m:t>=</m:t>
        </m:r>
        <m:r>
          <m:t>0.05</m:t>
        </m:r>
      </m:oMath>
      <w:r>
        <w:tab/>
      </w:r>
      <w:r>
        <w:rPr>
          <w:rFonts w:ascii="Times New Roman" w:hAnsi="Times New Roman"/>
        </w:rPr>
        <w:t>(13)</w:t>
      </w:r>
    </w:p>
    <w:p>
      <w:pPr>
        <w:pStyle w:val="FirstParagraph"/>
      </w:pPr>
      <w:r>
        <w:t xml:space="preserve">After each step </w:t>
      </w:r>
      <m:oMath>
        <m:sSub>
          <m:e>
            <m:r>
              <m:t>θ</m:t>
            </m:r>
          </m:e>
          <m:sub>
            <m:r>
              <m:t>r</m:t>
            </m:r>
          </m:sub>
        </m:sSub>
      </m:oMath>
      <w:r>
        <w:t xml:space="preserve"> is clipped to </w:t>
      </w:r>
      <m:oMath>
        <m:d>
          <m:dPr>
            <m:begChr m:val="["/>
            <m:endChr m:val="]"/>
            <m:sepChr m:val=""/>
            <m:grow/>
          </m:dPr>
          <m:e>
            <m:r>
              <m:t>0.15</m:t>
            </m:r>
            <m:r>
              <m:rPr>
                <m:sty m:val="p"/>
              </m:rPr>
              <m:t>,</m:t>
            </m:r>
            <m:r>
              <m:t>0.60</m:t>
            </m:r>
          </m:e>
        </m:d>
      </m:oMath>
      <w:r>
        <w:t xml:space="preserve"> and </w:t>
      </w:r>
      <m:oMath>
        <m:sSub>
          <m:e>
            <m:r>
              <m:t>θ</m:t>
            </m:r>
          </m:e>
          <m:sub>
            <m:r>
              <m:t>b</m:t>
            </m:r>
          </m:sub>
        </m:sSub>
      </m:oMath>
      <w:r>
        <w:t xml:space="preserve"> to </w:t>
      </w:r>
      <m:oMath>
        <m:d>
          <m:dPr>
            <m:begChr m:val="["/>
            <m:endChr m:val="]"/>
            <m:sepChr m:val=""/>
            <m:grow/>
          </m:dPr>
          <m:e>
            <m:r>
              <m:t>0.45</m:t>
            </m:r>
            <m:r>
              <m:rPr>
                <m:sty m:val="p"/>
              </m:rPr>
              <m:t>,</m:t>
            </m:r>
            <m:r>
              <m:t>0.95</m:t>
            </m:r>
          </m:e>
        </m:d>
      </m:oMath>
      <w:r>
        <w:t xml:space="preserve">. If </w:t>
      </w:r>
      <m:oMath>
        <m:sSub>
          <m:e>
            <m:r>
              <m:t>θ</m:t>
            </m:r>
          </m:e>
          <m:sub>
            <m:r>
              <m:t>b</m:t>
            </m:r>
          </m:sub>
        </m:sSub>
        <m:r>
          <m:rPr>
            <m:sty m:val="p"/>
          </m:rPr>
          <m:t>−</m:t>
        </m:r>
        <m:sSub>
          <m:e>
            <m:r>
              <m:t>θ</m:t>
            </m:r>
          </m:e>
          <m:sub>
            <m:r>
              <m:t>r</m:t>
            </m:r>
          </m:sub>
        </m:sSub>
        <m:r>
          <m:rPr>
            <m:sty m:val="p"/>
          </m:rPr>
          <m:t>&lt;</m:t>
        </m:r>
        <m:r>
          <m:t>0.15</m:t>
        </m:r>
      </m:oMath>
      <w:r>
        <w:t xml:space="preserve">, then </w:t>
      </w:r>
      <m:oMath>
        <m:sSub>
          <m:e>
            <m:r>
              <m:t>θ</m:t>
            </m:r>
          </m:e>
          <m:sub>
            <m:r>
              <m:t>b</m:t>
            </m:r>
          </m:sub>
        </m:sSub>
      </m:oMath>
      <w:r>
        <w:t xml:space="preserve"> is reset to </w:t>
      </w:r>
      <m:oMath>
        <m:r>
          <m:rPr>
            <m:sty m:val="p"/>
          </m:rPr>
          <m:t>c</m:t>
        </m:r>
        <m:r>
          <m:rPr>
            <m:sty m:val="p"/>
          </m:rPr>
          <m:t>l</m:t>
        </m:r>
        <m:r>
          <m:rPr>
            <m:sty m:val="p"/>
          </m:rPr>
          <m:t>i</m:t>
        </m:r>
        <m:r>
          <m:rPr>
            <m:sty m:val="p"/>
          </m:rPr>
          <m:t>p</m:t>
        </m:r>
        <m:d>
          <m:dPr>
            <m:begChr m:val="("/>
            <m:endChr m:val=")"/>
            <m:sepChr m:val=""/>
            <m:grow/>
          </m:dPr>
          <m:e>
            <m:sSub>
              <m:e>
                <m:r>
                  <m:t>θ</m:t>
                </m:r>
              </m:e>
              <m:sub>
                <m:r>
                  <m:t>r</m:t>
                </m:r>
              </m:sub>
            </m:sSub>
            <m:r>
              <m:rPr>
                <m:sty m:val="p"/>
              </m:rPr>
              <m:t>+</m:t>
            </m:r>
            <m:r>
              <m:t>0.15</m:t>
            </m:r>
            <m:r>
              <m:rPr>
                <m:sty m:val="p"/>
              </m:rPr>
              <m:t>,</m:t>
            </m:r>
            <m:r>
              <m:t> </m:t>
            </m:r>
            <m:r>
              <m:t>0.45</m:t>
            </m:r>
            <m:r>
              <m:rPr>
                <m:sty m:val="p"/>
              </m:rPr>
              <m:t>,</m:t>
            </m:r>
            <m:r>
              <m:t> </m:t>
            </m:r>
            <m:r>
              <m:t>0.95</m:t>
            </m:r>
          </m:e>
        </m:d>
      </m:oMath>
      <w:r>
        <w:t xml:space="preserve">. The triple </w:t>
      </w:r>
      <m:oMath>
        <m:d>
          <m:dPr>
            <m:begChr m:val="("/>
            <m:endChr m:val=")"/>
            <m:sepChr m:val=""/>
            <m:grow/>
          </m:dPr>
          <m:e>
            <m:sSub>
              <m:e>
                <m:r>
                  <m:t>θ</m:t>
                </m:r>
              </m:e>
              <m:sub>
                <m:r>
                  <m:t>r</m:t>
                </m:r>
              </m:sub>
            </m:sSub>
            <m:r>
              <m:rPr>
                <m:sty m:val="p"/>
              </m:rPr>
              <m:t>,</m:t>
            </m:r>
            <m:sSub>
              <m:e>
                <m:r>
                  <m:t>θ</m:t>
                </m:r>
              </m:e>
              <m:sub>
                <m:r>
                  <m:t>b</m:t>
                </m:r>
              </m:sub>
            </m:sSub>
            <m:r>
              <m:rPr>
                <m:sty m:val="p"/>
              </m:rPr>
              <m:t>,</m:t>
            </m:r>
            <m:acc>
              <m:accPr>
                <m:chr m:val="̃"/>
              </m:accPr>
              <m:e>
                <m:r>
                  <m:t>J</m:t>
                </m:r>
              </m:e>
            </m:acc>
          </m:e>
        </m:d>
      </m:oMath>
      <w:r>
        <w:t xml:space="preserve"> is recorded at every iteration, and the loop stops when both thresholds change by less than </w:t>
      </w:r>
      <m:oMath>
        <m:sSup>
          <m:e>
            <m:r>
              <m:t>10</m:t>
            </m:r>
          </m:e>
          <m:sup>
            <m:r>
              <m:rPr>
                <m:sty m:val="p"/>
              </m:rPr>
              <m:t>−</m:t>
            </m:r>
            <m:r>
              <m:t>4</m:t>
            </m:r>
          </m:sup>
        </m:sSup>
      </m:oMath>
      <w:r>
        <w:t xml:space="preserve">.</w:t>
      </w:r>
    </w:p>
    <w:bookmarkEnd w:id="33"/>
    <w:bookmarkStart w:id="34" w:name="d.-worked-example"/>
    <w:p>
      <w:pPr>
        <w:pStyle w:val="Heading2"/>
      </w:pPr>
      <w:r>
        <w:t xml:space="preserve">D. Worked Example</w:t>
      </w:r>
    </w:p>
    <w:p>
      <w:pPr>
        <w:pStyle w:val="FirstParagraph"/>
      </w:pPr>
      <w:r>
        <w:t xml:space="preserve">Consider one benign sample (</w:t>
      </w:r>
      <m:oMath>
        <m:r>
          <m:t>p</m:t>
        </m:r>
        <m:r>
          <m:rPr>
            <m:sty m:val="p"/>
          </m:rPr>
          <m:t>=</m:t>
        </m:r>
        <m:r>
          <m:t>0.2</m:t>
        </m:r>
      </m:oMath>
      <w:r>
        <w:t xml:space="preserve">) and one phishing sample (</w:t>
      </w:r>
      <m:oMath>
        <m:r>
          <m:t>p</m:t>
        </m:r>
        <m:r>
          <m:rPr>
            <m:sty m:val="p"/>
          </m:rPr>
          <m:t>=</m:t>
        </m:r>
        <m:r>
          <m:t>0.8</m:t>
        </m:r>
      </m:oMath>
      <w:r>
        <w:t xml:space="preserve">) with </w:t>
      </w:r>
      <m:oMath>
        <m:sSub>
          <m:e>
            <m:r>
              <m:t>θ</m:t>
            </m:r>
          </m:e>
          <m:sub>
            <m:r>
              <m:t>r</m:t>
            </m:r>
          </m:sub>
        </m:sSub>
        <m:r>
          <m:rPr>
            <m:sty m:val="p"/>
          </m:rPr>
          <m:t>=</m:t>
        </m:r>
        <m:r>
          <m:t>0.35</m:t>
        </m:r>
      </m:oMath>
      <w:r>
        <w:t xml:space="preserve">, </w:t>
      </w:r>
      <m:oMath>
        <m:sSub>
          <m:e>
            <m:r>
              <m:t>θ</m:t>
            </m:r>
          </m:e>
          <m:sub>
            <m:r>
              <m:t>b</m:t>
            </m:r>
          </m:sub>
        </m:sSub>
        <m:r>
          <m:rPr>
            <m:sty m:val="p"/>
          </m:rPr>
          <m:t>=</m:t>
        </m:r>
        <m:r>
          <m:t>0.70</m:t>
        </m:r>
      </m:oMath>
      <w:r>
        <w:t xml:space="preserve">, </w:t>
      </w:r>
      <m:oMath>
        <m:r>
          <m:t>τ</m:t>
        </m:r>
        <m:r>
          <m:rPr>
            <m:sty m:val="p"/>
          </m:rPr>
          <m:t>=</m:t>
        </m:r>
        <m:r>
          <m:t>0.05</m:t>
        </m:r>
      </m:oMath>
      <w:r>
        <w:t xml:space="preserve">. Then </w:t>
      </w:r>
      <m:oMath>
        <m:sSub>
          <m:e>
            <m:r>
              <m:t>s</m:t>
            </m:r>
          </m:e>
          <m:sub>
            <m:r>
              <m:t>r</m:t>
            </m:r>
          </m:sub>
        </m:sSub>
        <m:d>
          <m:dPr>
            <m:begChr m:val="("/>
            <m:endChr m:val=")"/>
            <m:sepChr m:val=""/>
            <m:grow/>
          </m:dPr>
          <m:e>
            <m:r>
              <m:t>0.2</m:t>
            </m:r>
          </m:e>
        </m:d>
        <m:r>
          <m:rPr>
            <m:sty m:val="p"/>
          </m:rPr>
          <m:t>=</m:t>
        </m:r>
        <m:r>
          <m:t>σ</m:t>
        </m:r>
        <m:d>
          <m:dPr>
            <m:begChr m:val="("/>
            <m:endChr m:val=")"/>
            <m:sepChr m:val=""/>
            <m:grow/>
          </m:dPr>
          <m:e>
            <m:r>
              <m:rPr>
                <m:sty m:val="p"/>
              </m:rPr>
              <m:t>−</m:t>
            </m:r>
            <m:r>
              <m:t>3</m:t>
            </m:r>
          </m:e>
        </m:d>
        <m:r>
          <m:rPr>
            <m:sty m:val="p"/>
          </m:rPr>
          <m:t>=</m:t>
        </m:r>
        <m:r>
          <m:t>0.0474</m:t>
        </m:r>
      </m:oMath>
      <w:r>
        <w:t xml:space="preserve">, so </w:t>
      </w:r>
      <m:oMath>
        <m:acc>
          <m:accPr>
            <m:chr m:val="̃"/>
          </m:accPr>
          <m:e>
            <m:r>
              <m:rPr>
                <m:sty m:val="p"/>
              </m:rPr>
              <m:t>F</m:t>
            </m:r>
            <m:r>
              <m:rPr>
                <m:sty m:val="p"/>
              </m:rPr>
              <m:t>P</m:t>
            </m:r>
            <m:r>
              <m:rPr>
                <m:sty m:val="p"/>
              </m:rPr>
              <m:t>R</m:t>
            </m:r>
          </m:e>
        </m:acc>
        <m:r>
          <m:rPr>
            <m:sty m:val="p"/>
          </m:rPr>
          <m:t>=</m:t>
        </m:r>
        <m:r>
          <m:t>0.0474</m:t>
        </m:r>
      </m:oMath>
      <w:r>
        <w:t xml:space="preserve">; and </w:t>
      </w:r>
      <m:oMath>
        <m:sSub>
          <m:e>
            <m:r>
              <m:t>s</m:t>
            </m:r>
          </m:e>
          <m:sub>
            <m:r>
              <m:t>b</m:t>
            </m:r>
          </m:sub>
        </m:sSub>
        <m:d>
          <m:dPr>
            <m:begChr m:val="("/>
            <m:endChr m:val=")"/>
            <m:sepChr m:val=""/>
            <m:grow/>
          </m:dPr>
          <m:e>
            <m:r>
              <m:t>0.8</m:t>
            </m:r>
          </m:e>
        </m:d>
        <m:r>
          <m:rPr>
            <m:sty m:val="p"/>
          </m:rPr>
          <m:t>=</m:t>
        </m:r>
        <m:r>
          <m:t>σ</m:t>
        </m:r>
        <m:d>
          <m:dPr>
            <m:begChr m:val="("/>
            <m:endChr m:val=")"/>
            <m:sepChr m:val=""/>
            <m:grow/>
          </m:dPr>
          <m:e>
            <m:r>
              <m:t>2</m:t>
            </m:r>
          </m:e>
        </m:d>
        <m:r>
          <m:rPr>
            <m:sty m:val="p"/>
          </m:rPr>
          <m:t>=</m:t>
        </m:r>
        <m:r>
          <m:t>0.8808</m:t>
        </m:r>
      </m:oMath>
      <w:r>
        <w:t xml:space="preserve">, so </w:t>
      </w:r>
      <m:oMath>
        <m:acc>
          <m:accPr>
            <m:chr m:val="̃"/>
          </m:accPr>
          <m:e>
            <m:r>
              <m:rPr>
                <m:sty m:val="p"/>
              </m:rPr>
              <m:t>F</m:t>
            </m:r>
            <m:r>
              <m:rPr>
                <m:sty m:val="p"/>
              </m:rPr>
              <m:t>N</m:t>
            </m:r>
            <m:r>
              <m:rPr>
                <m:sty m:val="p"/>
              </m:rPr>
              <m:t>R</m:t>
            </m:r>
          </m:e>
        </m:acc>
        <m:r>
          <m:rPr>
            <m:sty m:val="p"/>
          </m:rPr>
          <m:t>=</m:t>
        </m:r>
        <m:r>
          <m:t>0.1192</m:t>
        </m:r>
      </m:oMath>
      <w:r>
        <w:t xml:space="preserve">. The review term is </w:t>
      </w:r>
      <m:oMath>
        <m:acc>
          <m:accPr>
            <m:chr m:val="̃"/>
          </m:accPr>
          <m:e>
            <m:r>
              <m:rPr>
                <m:sty m:val="p"/>
              </m:rPr>
              <m:t>R</m:t>
            </m:r>
            <m:r>
              <m:rPr>
                <m:sty m:val="p"/>
              </m:rPr>
              <m:t>R</m:t>
            </m:r>
          </m:e>
        </m:acc>
        <m:r>
          <m:rPr>
            <m:sty m:val="p"/>
          </m:rPr>
          <m:t>=</m:t>
        </m:r>
        <m:f>
          <m:fPr>
            <m:type m:val="lin"/>
          </m:fPr>
          <m:num>
            <m:r>
              <m:t>1</m:t>
            </m:r>
          </m:num>
          <m:den>
            <m:r>
              <m:t>2</m:t>
            </m:r>
          </m:den>
        </m:f>
        <m:d>
          <m:dPr>
            <m:begChr m:val="["/>
            <m:endChr m:val="]"/>
            <m:sepChr m:val=""/>
            <m:grow/>
          </m:dPr>
          <m:e>
            <m:r>
              <m:t>0.0474</m:t>
            </m:r>
            <m:r>
              <m:rPr>
                <m:sty m:val="p"/>
              </m:rPr>
              <m:t>+</m:t>
            </m:r>
            <m:r>
              <m:t>0.9999</m:t>
            </m:r>
            <m:r>
              <m:rPr>
                <m:sty m:val="p"/>
              </m:rPr>
              <m:t>×</m:t>
            </m:r>
            <m:r>
              <m:t>0.1192</m:t>
            </m:r>
          </m:e>
        </m:d>
        <m:r>
          <m:rPr>
            <m:sty m:val="p"/>
          </m:rPr>
          <m:t>=</m:t>
        </m:r>
        <m:r>
          <m:t>0.0833</m:t>
        </m:r>
      </m:oMath>
      <w:r>
        <w:t xml:space="preserve">. Therefore </w:t>
      </w:r>
      <m:oMath>
        <m:acc>
          <m:accPr>
            <m:chr m:val="̃"/>
          </m:accPr>
          <m:e>
            <m:r>
              <m:t>J</m:t>
            </m:r>
          </m:e>
        </m:acc>
        <m:r>
          <m:rPr>
            <m:sty m:val="p"/>
          </m:rPr>
          <m:t>=</m:t>
        </m:r>
        <m:r>
          <m:t>0.0474</m:t>
        </m:r>
        <m:r>
          <m:rPr>
            <m:sty m:val="p"/>
          </m:rPr>
          <m:t>+</m:t>
        </m:r>
        <m:r>
          <m:t>5</m:t>
        </m:r>
        <m:d>
          <m:dPr>
            <m:begChr m:val="("/>
            <m:endChr m:val=")"/>
            <m:sepChr m:val=""/>
            <m:grow/>
          </m:dPr>
          <m:e>
            <m:r>
              <m:t>0.1192</m:t>
            </m:r>
          </m:e>
        </m:d>
        <m:r>
          <m:rPr>
            <m:sty m:val="p"/>
          </m:rPr>
          <m:t>+</m:t>
        </m:r>
        <m:r>
          <m:t>0.5</m:t>
        </m:r>
        <m:d>
          <m:dPr>
            <m:begChr m:val="("/>
            <m:endChr m:val=")"/>
            <m:sepChr m:val=""/>
            <m:grow/>
          </m:dPr>
          <m:e>
            <m:r>
              <m:t>0.0833</m:t>
            </m:r>
          </m:e>
        </m:d>
        <m:r>
          <m:rPr>
            <m:sty m:val="p"/>
          </m:rPr>
          <m:t>≈</m:t>
        </m:r>
        <m:r>
          <m:t>0.685</m:t>
        </m:r>
      </m:oMath>
      <w:r>
        <w:t xml:space="preserve">, the regularizer being zero at </w:t>
      </w:r>
      <m:oMath>
        <m:sSub>
          <m:e>
            <m:r>
              <m:rPr>
                <m:sty m:val="b"/>
              </m:rPr>
              <m:t>t</m:t>
            </m:r>
          </m:e>
          <m:sub>
            <m:r>
              <m:t>0</m:t>
            </m:r>
          </m:sub>
        </m:sSub>
      </m:oMath>
      <w:r>
        <w:t xml:space="preserve">.</w:t>
      </w:r>
    </w:p>
    <w:p>
      <w:pPr>
        <w:pStyle w:val="BodyText"/>
      </w:pPr>
      <w:r>
        <w:t xml:space="preserve">For the false-positive term alone, </w:t>
      </w:r>
      <m:oMath>
        <m:r>
          <m:rPr>
            <m:sty m:val="p"/>
          </m:rPr>
          <m:t>∂</m:t>
        </m:r>
        <m:sSub>
          <m:e>
            <m:r>
              <m:t>s</m:t>
            </m:r>
          </m:e>
          <m:sub>
            <m:r>
              <m:t>r</m:t>
            </m:r>
          </m:sub>
        </m:sSub>
        <m:r>
          <m:rPr>
            <m:sty m:val="p"/>
          </m:rPr>
          <m:t>/</m:t>
        </m:r>
        <m:r>
          <m:rPr>
            <m:sty m:val="p"/>
          </m:rPr>
          <m:t>∂</m:t>
        </m:r>
        <m:sSub>
          <m:e>
            <m:r>
              <m:t>θ</m:t>
            </m:r>
          </m:e>
          <m:sub>
            <m:r>
              <m:t>r</m:t>
            </m:r>
          </m:sub>
        </m:sSub>
        <m:r>
          <m:rPr>
            <m:sty m:val="p"/>
          </m:rPr>
          <m:t>=</m:t>
        </m:r>
        <m:r>
          <m:rPr>
            <m:sty m:val="p"/>
          </m:rPr>
          <m:t>−</m:t>
        </m:r>
        <m:r>
          <m:t>0.0474</m:t>
        </m:r>
        <m:r>
          <m:rPr>
            <m:sty m:val="p"/>
          </m:rPr>
          <m:t>×</m:t>
        </m:r>
        <m:r>
          <m:t>0.9526</m:t>
        </m:r>
        <m:r>
          <m:rPr>
            <m:sty m:val="p"/>
          </m:rPr>
          <m:t>/</m:t>
        </m:r>
        <m:r>
          <m:t>0.05</m:t>
        </m:r>
        <m:r>
          <m:rPr>
            <m:sty m:val="p"/>
          </m:rPr>
          <m:t>=</m:t>
        </m:r>
        <m:r>
          <m:rPr>
            <m:sty m:val="p"/>
          </m:rPr>
          <m:t>−</m:t>
        </m:r>
        <m:r>
          <m:t>0.9035</m:t>
        </m:r>
      </m:oMath>
      <w:r>
        <w:t xml:space="preserve">, giving </w:t>
      </w:r>
      <m:oMath>
        <m:sSub>
          <m:e>
            <m:r>
              <m:t>θ</m:t>
            </m:r>
          </m:e>
          <m:sub>
            <m:r>
              <m:t>r</m:t>
            </m:r>
          </m:sub>
        </m:sSub>
        <m:r>
          <m:rPr>
            <m:sty m:val="p"/>
          </m:rPr>
          <m:t>←</m:t>
        </m:r>
        <m:r>
          <m:t>0.35</m:t>
        </m:r>
        <m:r>
          <m:rPr>
            <m:sty m:val="p"/>
          </m:rPr>
          <m:t>−</m:t>
        </m:r>
        <m:r>
          <m:t>0.05</m:t>
        </m:r>
        <m:d>
          <m:dPr>
            <m:begChr m:val="("/>
            <m:endChr m:val=")"/>
            <m:sepChr m:val=""/>
            <m:grow/>
          </m:dPr>
          <m:e>
            <m:r>
              <m:rPr>
                <m:sty m:val="p"/>
              </m:rPr>
              <m:t>−</m:t>
            </m:r>
            <m:r>
              <m:t>0.9035</m:t>
            </m:r>
          </m:e>
        </m:d>
        <m:r>
          <m:rPr>
            <m:sty m:val="p"/>
          </m:rPr>
          <m:t>≈</m:t>
        </m:r>
        <m:r>
          <m:t>0.395</m:t>
        </m:r>
      </m:oMath>
      <w:r>
        <w:t xml:space="preserve">. Including the review term, the full gradient is </w:t>
      </w:r>
      <m:oMath>
        <m:r>
          <m:rPr>
            <m:sty m:val="p"/>
          </m:rPr>
          <m:t>−</m:t>
        </m:r>
        <m:r>
          <m:t>1.1295</m:t>
        </m:r>
      </m:oMath>
      <w:r>
        <w:t xml:space="preserve"> and </w:t>
      </w:r>
      <m:oMath>
        <m:sSub>
          <m:e>
            <m:r>
              <m:t>θ</m:t>
            </m:r>
          </m:e>
          <m:sub>
            <m:r>
              <m:t>r</m:t>
            </m:r>
          </m:sub>
        </m:sSub>
        <m:r>
          <m:rPr>
            <m:sty m:val="p"/>
          </m:rPr>
          <m:t>←</m:t>
        </m:r>
        <m:r>
          <m:t>0.4065</m:t>
        </m:r>
      </m:oMath>
      <w:r>
        <w:t xml:space="preserve">. In both cases the gradient is negative, so descent raises the review threshold and spares the benign URL, the same direction taken in the real experiment.</w:t>
      </w:r>
    </w:p>
    <w:bookmarkEnd w:id="34"/>
    <w:bookmarkEnd w:id="35"/>
    <w:bookmarkStart w:id="39" w:name="v.-optimality-verification"/>
    <w:p>
      <w:pPr>
        <w:pStyle w:val="Heading1"/>
      </w:pPr>
      <w:r>
        <w:t xml:space="preserve">V. OPTIMALITY VERIFICATION</w:t>
      </w:r>
    </w:p>
    <w:bookmarkStart w:id="36" w:name="a.-first-order-and-kkt-conditions"/>
    <w:p>
      <w:pPr>
        <w:pStyle w:val="Heading2"/>
      </w:pPr>
      <w:r>
        <w:t xml:space="preserve">A. First-Order and KKT Conditions</w:t>
      </w:r>
    </w:p>
    <w:p>
      <w:pPr>
        <w:pStyle w:val="FirstParagraph"/>
      </w:pPr>
      <w:r>
        <w:t xml:space="preserve">At the returned point </w:t>
      </w:r>
      <m:oMath>
        <m:d>
          <m:dPr>
            <m:begChr m:val="("/>
            <m:endChr m:val=")"/>
            <m:sepChr m:val=""/>
            <m:grow/>
          </m:dPr>
          <m:e>
            <m:sSub>
              <m:e>
                <m:r>
                  <m:t>θ</m:t>
                </m:r>
              </m:e>
              <m:sub>
                <m:r>
                  <m:t>r</m:t>
                </m:r>
              </m:sub>
            </m:sSub>
            <m:r>
              <m:rPr>
                <m:sty m:val="p"/>
              </m:rPr>
              <m:t>,</m:t>
            </m:r>
            <m:sSub>
              <m:e>
                <m:r>
                  <m:t>θ</m:t>
                </m:r>
              </m:e>
              <m:sub>
                <m:r>
                  <m:t>b</m:t>
                </m:r>
              </m:sub>
            </m:sSub>
          </m:e>
        </m:d>
        <m:r>
          <m:rPr>
            <m:sty m:val="p"/>
          </m:rPr>
          <m:t>=</m:t>
        </m:r>
        <m:d>
          <m:dPr>
            <m:begChr m:val="("/>
            <m:endChr m:val=")"/>
            <m:sepChr m:val=""/>
            <m:grow/>
          </m:dPr>
          <m:e>
            <m:r>
              <m:t>0.60</m:t>
            </m:r>
            <m:r>
              <m:rPr>
                <m:sty m:val="p"/>
              </m:rPr>
              <m:t>,</m:t>
            </m:r>
            <m:r>
              <m:t>0.75</m:t>
            </m:r>
          </m:e>
        </m:d>
      </m:oMath>
      <w:r>
        <w:t xml:space="preserve"> the numerical gradient is </w:t>
      </w:r>
      <m:oMath>
        <m:r>
          <m:rPr>
            <m:sty m:val="p"/>
          </m:rPr>
          <m:t>∂</m:t>
        </m:r>
        <m:acc>
          <m:accPr>
            <m:chr m:val="̃"/>
          </m:accPr>
          <m:e>
            <m:r>
              <m:t>J</m:t>
            </m:r>
          </m:e>
        </m:acc>
        <m:r>
          <m:rPr>
            <m:sty m:val="p"/>
          </m:rPr>
          <m:t>/</m:t>
        </m:r>
        <m:r>
          <m:rPr>
            <m:sty m:val="p"/>
          </m:rPr>
          <m:t>∂</m:t>
        </m:r>
        <m:sSub>
          <m:e>
            <m:r>
              <m:t>θ</m:t>
            </m:r>
          </m:e>
          <m:sub>
            <m:r>
              <m:t>r</m:t>
            </m:r>
          </m:sub>
        </m:sSub>
        <m:r>
          <m:rPr>
            <m:sty m:val="p"/>
          </m:rPr>
          <m:t>=</m:t>
        </m:r>
        <m:r>
          <m:rPr>
            <m:sty m:val="p"/>
          </m:rPr>
          <m:t>−</m:t>
        </m:r>
        <m:r>
          <m:t>0.1608</m:t>
        </m:r>
      </m:oMath>
      <w:r>
        <w:t xml:space="preserve"> and </w:t>
      </w:r>
      <m:oMath>
        <m:r>
          <m:rPr>
            <m:sty m:val="p"/>
          </m:rPr>
          <m:t>∂</m:t>
        </m:r>
        <m:acc>
          <m:accPr>
            <m:chr m:val="̃"/>
          </m:accPr>
          <m:e>
            <m:r>
              <m:t>J</m:t>
            </m:r>
          </m:e>
        </m:acc>
        <m:r>
          <m:rPr>
            <m:sty m:val="p"/>
          </m:rPr>
          <m:t>/</m:t>
        </m:r>
        <m:r>
          <m:rPr>
            <m:sty m:val="p"/>
          </m:rPr>
          <m:t>∂</m:t>
        </m:r>
        <m:sSub>
          <m:e>
            <m:r>
              <m:t>θ</m:t>
            </m:r>
          </m:e>
          <m:sub>
            <m:r>
              <m:t>b</m:t>
            </m:r>
          </m:sub>
        </m:sSub>
        <m:r>
          <m:rPr>
            <m:sty m:val="p"/>
          </m:rPr>
          <m:t>=</m:t>
        </m:r>
        <m:r>
          <m:rPr>
            <m:sty m:val="p"/>
          </m:rPr>
          <m:t>+</m:t>
        </m:r>
        <m:r>
          <m:t>1.5507</m:t>
        </m:r>
      </m:oMath>
      <w:r>
        <w:t xml:space="preserve">. Both exceed the tolerance of 0.05 used by the code, so the unconstrained critical-point test (</w:t>
      </w:r>
      <w:r>
        <w:rPr>
          <w:rStyle w:val="VerbatimChar"/>
        </w:rPr>
        <w:t xml:space="preserve">is_critical_point</w:t>
      </w:r>
      <w:r>
        <w:t xml:space="preserve">) is false. The gradient need not vanish on a constraint boundary, so this alone is not a failure; the constrained conditions must be checked. For constraints </w:t>
      </w:r>
      <m:oMath>
        <m:sSub>
          <m:e>
            <m:r>
              <m:t>g</m:t>
            </m:r>
          </m:e>
          <m:sub>
            <m:r>
              <m:t>j</m:t>
            </m:r>
          </m:sub>
        </m:sSub>
        <m:d>
          <m:dPr>
            <m:begChr m:val="("/>
            <m:endChr m:val=")"/>
            <m:sepChr m:val=""/>
            <m:grow/>
          </m:dPr>
          <m:e>
            <m:r>
              <m:rPr>
                <m:sty m:val="b"/>
              </m:rPr>
              <m:t>θ</m:t>
            </m:r>
          </m:e>
        </m:d>
        <m:r>
          <m:rPr>
            <m:sty m:val="p"/>
          </m:rPr>
          <m:t>≤</m:t>
        </m:r>
        <m:r>
          <m:t>0</m:t>
        </m:r>
      </m:oMath>
      <w:r>
        <w:t xml:space="preserve">, a KKT point satisfies [7]</w:t>
      </w:r>
    </w:p>
    <w:p>
      <w:pPr>
        <w:pStyle w:val="BodyText"/>
        <w:tabs>
          <w:tab w:val="center" w:pos="2436"/>
          <w:tab w:val="right" w:pos="4873"/>
        </w:tabs>
        <w:spacing w:before="80" w:after="80"/>
        <w:ind w:firstLine="0"/>
        <w:jc w:val="left"/>
      </w:pPr>
      <w:r>
        <w:tab/>
      </w:r>
      <m:oMath>
        <m:m>
          <m:mPr>
            <m:baseJc m:val="center"/>
            <m:plcHide m:val="on"/>
            <m:mcs>
              <m:mc>
                <m:mcPr>
                  <m:mcJc m:val="right"/>
                  <m:count m:val="1"/>
                </m:mcPr>
              </m:mc>
              <m:mc>
                <m:mcPr>
                  <m:mcJc m:val="left"/>
                  <m:count m:val="1"/>
                </m:mcPr>
              </m:mc>
            </m:mcs>
          </m:mPr>
          <m:mr>
            <m:e>
              <m:r>
                <m:rPr>
                  <m:sty m:val="p"/>
                </m:rPr>
                <m:t>∇</m:t>
              </m:r>
              <m:acc>
                <m:accPr>
                  <m:chr m:val="̃"/>
                </m:accPr>
                <m:e>
                  <m:r>
                    <m:t>J</m:t>
                  </m:r>
                </m:e>
              </m:acc>
              <m:r>
                <m:rPr>
                  <m:sty m:val="p"/>
                </m:rPr>
                <m:t>+</m:t>
              </m:r>
              <m:nary>
                <m:naryPr>
                  <m:chr m:val="∑"/>
                  <m:limLoc m:val="undOvr"/>
                  <m:subHide m:val="off"/>
                  <m:supHide m:val="on"/>
                </m:naryPr>
                <m:sub>
                  <m:r>
                    <m:t>j</m:t>
                  </m:r>
                </m:sub>
                <m:sup>
                  <m:r>
                    <m:t>​</m:t>
                  </m:r>
                </m:sup>
                <m:e>
                  <m:sSub>
                    <m:e>
                      <m:r>
                        <m:t>μ</m:t>
                      </m:r>
                    </m:e>
                    <m:sub>
                      <m:r>
                        <m:t>j</m:t>
                      </m:r>
                    </m:sub>
                  </m:sSub>
                </m:e>
              </m:nary>
              <m:r>
                <m:rPr>
                  <m:sty m:val="p"/>
                </m:rPr>
                <m:t>∇</m:t>
              </m:r>
              <m:sSub>
                <m:e>
                  <m:r>
                    <m:t>g</m:t>
                  </m:r>
                </m:e>
                <m:sub>
                  <m:r>
                    <m:t>j</m:t>
                  </m:r>
                </m:sub>
              </m:sSub>
            </m:e>
            <m:e>
              <m:r>
                <m:rPr>
                  <m:sty m:val="p"/>
                </m:rPr>
                <m:t>=</m:t>
              </m:r>
              <m:r>
                <m:t>0</m:t>
              </m:r>
            </m:e>
          </m:mr>
          <m:mr>
            <m:e>
              <m:sSub>
                <m:e>
                  <m:r>
                    <m:t>μ</m:t>
                  </m:r>
                </m:e>
                <m:sub>
                  <m:r>
                    <m:t>j</m:t>
                  </m:r>
                </m:sub>
              </m:sSub>
              <m:r>
                <m:rPr>
                  <m:sty m:val="p"/>
                </m:rPr>
                <m:t>≥</m:t>
              </m:r>
              <m:r>
                <m:t>0</m:t>
              </m:r>
              <m:r>
                <m:rPr>
                  <m:sty m:val="p"/>
                </m:rPr>
                <m:t>,</m:t>
              </m:r>
              <m:r>
                <m:t> </m:t>
              </m:r>
              <m:sSub>
                <m:e>
                  <m:r>
                    <m:t>μ</m:t>
                  </m:r>
                </m:e>
                <m:sub>
                  <m:r>
                    <m:t>j</m:t>
                  </m:r>
                </m:sub>
              </m:sSub>
              <m:sSub>
                <m:e>
                  <m:r>
                    <m:t>g</m:t>
                  </m:r>
                </m:e>
                <m:sub>
                  <m:r>
                    <m:t>j</m:t>
                  </m:r>
                </m:sub>
              </m:sSub>
            </m:e>
            <m:e>
              <m:r>
                <m:rPr>
                  <m:sty m:val="p"/>
                </m:rPr>
                <m:t>=</m:t>
              </m:r>
              <m:r>
                <m:t>0</m:t>
              </m:r>
            </m:e>
          </m:mr>
        </m:m>
      </m:oMath>
      <w:r>
        <w:tab/>
      </w:r>
      <w:r>
        <w:rPr>
          <w:rFonts w:ascii="Times New Roman" w:hAnsi="Times New Roman"/>
        </w:rPr>
        <w:t>(14)</w:t>
      </w:r>
    </w:p>
    <w:p>
      <w:pPr>
        <w:pStyle w:val="FirstParagraph"/>
      </w:pPr>
      <w:r>
        <w:t xml:space="preserve">With constraints c</w:t>
      </w:r>
      <w:r>
        <w:rPr>
          <w:vertAlign w:val="subscript"/>
        </w:rPr>
        <w:t xml:space="preserve">1</w:t>
      </w:r>
      <w:r>
        <w:t xml:space="preserve">: 0.15 − θ</w:t>
      </w:r>
      <w:r>
        <w:rPr>
          <w:vertAlign w:val="subscript"/>
        </w:rPr>
        <w:t xml:space="preserve">r</w:t>
      </w:r>
      <w:r>
        <w:t xml:space="preserve"> ≤ 0, c</w:t>
      </w:r>
      <w:r>
        <w:rPr>
          <w:vertAlign w:val="subscript"/>
        </w:rPr>
        <w:t xml:space="preserve">2</w:t>
      </w:r>
      <w:r>
        <w:t xml:space="preserve">: θ</w:t>
      </w:r>
      <w:r>
        <w:rPr>
          <w:vertAlign w:val="subscript"/>
        </w:rPr>
        <w:t xml:space="preserve">r</w:t>
      </w:r>
      <w:r>
        <w:t xml:space="preserve"> − 0.60 ≤ 0, c</w:t>
      </w:r>
      <w:r>
        <w:rPr>
          <w:vertAlign w:val="subscript"/>
        </w:rPr>
        <w:t xml:space="preserve">3</w:t>
      </w:r>
      <w:r>
        <w:t xml:space="preserve">: 0.15 − (θ</w:t>
      </w:r>
      <w:r>
        <w:rPr>
          <w:vertAlign w:val="subscript"/>
        </w:rPr>
        <w:t xml:space="preserve">b</w:t>
      </w:r>
      <w:r>
        <w:t xml:space="preserve"> − θ</w:t>
      </w:r>
      <w:r>
        <w:rPr>
          <w:vertAlign w:val="subscript"/>
        </w:rPr>
        <w:t xml:space="preserve">r</w:t>
      </w:r>
      <w:r>
        <w:t xml:space="preserve">) ≤ 0, etc., the projected point (0.60, 0.75) has two active constraints: θ</w:t>
      </w:r>
      <w:r>
        <w:rPr>
          <w:vertAlign w:val="subscript"/>
        </w:rPr>
        <w:t xml:space="preserve">r</w:t>
      </w:r>
      <w:r>
        <w:t xml:space="preserve"> ≤ 0.60 and the gap θ</w:t>
      </w:r>
      <w:r>
        <w:rPr>
          <w:vertAlign w:val="subscript"/>
        </w:rPr>
        <w:t xml:space="preserve">b</w:t>
      </w:r>
      <w:r>
        <w:t xml:space="preserve"> − θ</w:t>
      </w:r>
      <w:r>
        <w:rPr>
          <w:vertAlign w:val="subscript"/>
        </w:rPr>
        <w:t xml:space="preserve">r</w:t>
      </w:r>
      <w:r>
        <w:t xml:space="preserve"> ≥ 0.15. Solving the KKT stationarity equations gives μ</w:t>
      </w:r>
      <w:r>
        <w:rPr>
          <w:vertAlign w:val="subscript"/>
        </w:rPr>
        <w:t xml:space="preserve">2</w:t>
      </w:r>
      <w:r>
        <w:t xml:space="preserve"> = ∂J̃/∂θ</w:t>
      </w:r>
      <w:r>
        <w:rPr>
          <w:vertAlign w:val="subscript"/>
        </w:rPr>
        <w:t xml:space="preserve">b</w:t>
      </w:r>
      <w:r>
        <w:t xml:space="preserve"> ≈ 1.55 for the gap and μ</w:t>
      </w:r>
      <w:r>
        <w:rPr>
          <w:vertAlign w:val="subscript"/>
        </w:rPr>
        <w:t xml:space="preserve">1</w:t>
      </w:r>
      <w:r>
        <w:t xml:space="preserve"> = −∂J̃/∂θ</w:t>
      </w:r>
      <w:r>
        <w:rPr>
          <w:vertAlign w:val="subscript"/>
        </w:rPr>
        <w:t xml:space="preserve">r</w:t>
      </w:r>
      <w:r>
        <w:t xml:space="preserve"> − μ</w:t>
      </w:r>
      <w:r>
        <w:rPr>
          <w:vertAlign w:val="subscript"/>
        </w:rPr>
        <w:t xml:space="preserve">2</w:t>
      </w:r>
      <w:r>
        <w:t xml:space="preserve"> ≈ 0.16 − 1.55 = −1.39 for the bound. The negative μ</w:t>
      </w:r>
      <w:r>
        <w:rPr>
          <w:vertAlign w:val="subscript"/>
        </w:rPr>
        <w:t xml:space="preserve">1</w:t>
      </w:r>
      <w:r>
        <w:t xml:space="preserve"> indicates that the regularized smoothed objective would prefer θ</w:t>
      </w:r>
      <w:r>
        <w:rPr>
          <w:vertAlign w:val="subscript"/>
        </w:rPr>
        <w:t xml:space="preserve">r</w:t>
      </w:r>
      <w:r>
        <w:t xml:space="preserve"> &gt; 0.60, but the bound blocks it, while the gap projection forces θ</w:t>
      </w:r>
      <w:r>
        <w:rPr>
          <w:vertAlign w:val="subscript"/>
        </w:rPr>
        <w:t xml:space="preserve">b</w:t>
      </w:r>
      <w:r>
        <w:t xml:space="preserve"> up against its own gradient. Thus (0.60, 0.75) is the projected-gradient fixed point under the box and gap projection, not a KKT point of the smoothed problem. The hard operational cost C, which is the relevant metric, does decrease from 0.387 to 0.367, confirming practical improvement.</w:t>
      </w:r>
    </w:p>
    <w:bookmarkEnd w:id="36"/>
    <w:bookmarkStart w:id="37" w:name="b.-second-order-condition"/>
    <w:p>
      <w:pPr>
        <w:pStyle w:val="Heading2"/>
      </w:pPr>
      <w:r>
        <w:t xml:space="preserve">B. Second-Order Condition</w:t>
      </w:r>
    </w:p>
    <w:p>
      <w:pPr>
        <w:pStyle w:val="FirstParagraph"/>
      </w:pPr>
      <w:r>
        <w:t xml:space="preserve">The second derivatives are estimated by the three-point formula</w:t>
      </w:r>
    </w:p>
    <w:p>
      <w:pPr>
        <w:pStyle w:val="BodyText"/>
        <w:tabs>
          <w:tab w:val="center" w:pos="2436"/>
          <w:tab w:val="right" w:pos="4873"/>
        </w:tabs>
        <w:spacing w:before="80" w:after="80"/>
        <w:ind w:firstLine="0"/>
        <w:jc w:val="left"/>
      </w:pPr>
      <w:r>
        <w:tab/>
      </w:r>
      <m:oMath>
        <m:f>
          <m:fPr>
            <m:type m:val="bar"/>
          </m:fPr>
          <m:num>
            <m:sSup>
              <m:e>
                <m:r>
                  <m:rPr>
                    <m:sty m:val="p"/>
                  </m:rPr>
                  <m:t>∂</m:t>
                </m:r>
              </m:e>
              <m:sup>
                <m:r>
                  <m:t>2</m:t>
                </m:r>
              </m:sup>
            </m:sSup>
            <m:acc>
              <m:accPr>
                <m:chr m:val="̃"/>
              </m:accPr>
              <m:e>
                <m:r>
                  <m:t>J</m:t>
                </m:r>
              </m:e>
            </m:acc>
          </m:num>
          <m:den>
            <m:r>
              <m:rPr>
                <m:sty m:val="p"/>
              </m:rPr>
              <m:t>∂</m:t>
            </m:r>
            <m:sSup>
              <m:e>
                <m:r>
                  <m:t>θ</m:t>
                </m:r>
              </m:e>
              <m:sup>
                <m:r>
                  <m:t>2</m:t>
                </m:r>
              </m:sup>
            </m:sSup>
          </m:den>
        </m:f>
        <m:r>
          <m:rPr>
            <m:sty m:val="p"/>
          </m:rPr>
          <m:t>≈</m:t>
        </m:r>
        <m:f>
          <m:fPr>
            <m:type m:val="bar"/>
          </m:fPr>
          <m:num>
            <m:acc>
              <m:accPr>
                <m:chr m:val="̃"/>
              </m:accPr>
              <m:e>
                <m:r>
                  <m:t>J</m:t>
                </m:r>
              </m:e>
            </m:acc>
            <m:d>
              <m:dPr>
                <m:begChr m:val="("/>
                <m:endChr m:val=")"/>
                <m:sepChr m:val=""/>
                <m:grow/>
              </m:dPr>
              <m:e>
                <m:r>
                  <m:t>θ</m:t>
                </m:r>
                <m:r>
                  <m:rPr>
                    <m:sty m:val="p"/>
                  </m:rPr>
                  <m:t>+</m:t>
                </m:r>
                <m:r>
                  <m:t>ε</m:t>
                </m:r>
              </m:e>
            </m:d>
            <m:r>
              <m:rPr>
                <m:sty m:val="p"/>
              </m:rPr>
              <m:t>−</m:t>
            </m:r>
            <m:r>
              <m:t>2</m:t>
            </m:r>
            <m:acc>
              <m:accPr>
                <m:chr m:val="̃"/>
              </m:accPr>
              <m:e>
                <m:r>
                  <m:t>J</m:t>
                </m:r>
              </m:e>
            </m:acc>
            <m:d>
              <m:dPr>
                <m:begChr m:val="("/>
                <m:endChr m:val=")"/>
                <m:sepChr m:val=""/>
                <m:grow/>
              </m:dPr>
              <m:e>
                <m:r>
                  <m:t>θ</m:t>
                </m:r>
              </m:e>
            </m:d>
            <m:r>
              <m:rPr>
                <m:sty m:val="p"/>
              </m:rPr>
              <m:t>+</m:t>
            </m:r>
            <m:acc>
              <m:accPr>
                <m:chr m:val="̃"/>
              </m:accPr>
              <m:e>
                <m:r>
                  <m:t>J</m:t>
                </m:r>
              </m:e>
            </m:acc>
            <m:d>
              <m:dPr>
                <m:begChr m:val="("/>
                <m:endChr m:val=")"/>
                <m:sepChr m:val=""/>
                <m:grow/>
              </m:dPr>
              <m:e>
                <m:r>
                  <m:t>θ</m:t>
                </m:r>
                <m:r>
                  <m:rPr>
                    <m:sty m:val="p"/>
                  </m:rPr>
                  <m:t>−</m:t>
                </m:r>
                <m:r>
                  <m:t>ε</m:t>
                </m:r>
              </m:e>
            </m:d>
          </m:num>
          <m:den>
            <m:sSup>
              <m:e>
                <m:r>
                  <m:t>ε</m:t>
                </m:r>
              </m:e>
              <m:sup>
                <m:r>
                  <m:t>2</m:t>
                </m:r>
              </m:sup>
            </m:sSup>
          </m:den>
        </m:f>
      </m:oMath>
      <w:r>
        <w:tab/>
      </w:r>
      <w:r>
        <w:rPr>
          <w:rFonts w:ascii="Times New Roman" w:hAnsi="Times New Roman"/>
        </w:rPr>
        <w:t>(15)</w:t>
      </w:r>
    </w:p>
    <w:p>
      <w:pPr>
        <w:pStyle w:val="FirstParagraph"/>
      </w:pPr>
      <w:r>
        <w:t xml:space="preserve">and equal </w:t>
      </w:r>
      <m:oMath>
        <m:r>
          <m:t>0.4848</m:t>
        </m:r>
      </m:oMath>
      <w:r>
        <w:t xml:space="preserve"> for </w:t>
      </w:r>
      <m:oMath>
        <m:sSub>
          <m:e>
            <m:r>
              <m:t>θ</m:t>
            </m:r>
          </m:e>
          <m:sub>
            <m:r>
              <m:t>r</m:t>
            </m:r>
          </m:sub>
        </m:sSub>
      </m:oMath>
      <w:r>
        <w:t xml:space="preserve"> and </w:t>
      </w:r>
      <m:oMath>
        <m:r>
          <m:t>19.3283</m:t>
        </m:r>
      </m:oMath>
      <w:r>
        <w:t xml:space="preserve"> for </w:t>
      </w:r>
      <m:oMath>
        <m:sSub>
          <m:e>
            <m:r>
              <m:t>θ</m:t>
            </m:r>
          </m:e>
          <m:sub>
            <m:r>
              <m:t>b</m:t>
            </m:r>
          </m:sub>
        </m:sSub>
      </m:oMath>
      <w:r>
        <w:t xml:space="preserve">. Both are positive, so </w:t>
      </w:r>
      <m:oMath>
        <m:acc>
          <m:accPr>
            <m:chr m:val="̃"/>
          </m:accPr>
          <m:e>
            <m:r>
              <m:t>J</m:t>
            </m:r>
          </m:e>
        </m:acc>
      </m:oMath>
      <w:r>
        <w:t xml:space="preserve"> is locally convex along each coordinate axis at the solution. Part of this curvature comes from the regularizer (</w:t>
      </w:r>
      <m:oMath>
        <m:r>
          <m:t>2</m:t>
        </m:r>
        <m:r>
          <m:t>λ</m:t>
        </m:r>
        <m:r>
          <m:rPr>
            <m:sty m:val="p"/>
          </m:rPr>
          <m:t>=</m:t>
        </m:r>
        <m:r>
          <m:t>0.1</m:t>
        </m:r>
      </m:oMath>
      <w:r>
        <w:t xml:space="preserve">) and the remainder from the sigmoid terms. Only these two diagonal entries were computed; the mixed derivative and hence the full Hessian were not, so positive definiteness is not established.</w:t>
      </w:r>
    </w:p>
    <w:bookmarkEnd w:id="37"/>
    <w:bookmarkStart w:id="38" w:name="c.-bayes-reference"/>
    <w:p>
      <w:pPr>
        <w:pStyle w:val="Heading2"/>
      </w:pPr>
      <w:r>
        <w:t xml:space="preserve">C. Bayes Reference</w:t>
      </w:r>
    </w:p>
    <w:p>
      <w:pPr>
        <w:pStyle w:val="FirstParagraph"/>
      </w:pPr>
      <w:r>
        <w:t xml:space="preserve">For a single-threshold classifier with calibrated probabilities, the cost-optimal rule flags a sample when </w:t>
      </w:r>
      <m:oMath>
        <m:r>
          <m:t>p</m:t>
        </m:r>
        <m:r>
          <m:rPr>
            <m:sty m:val="p"/>
          </m:rPr>
          <m:t>≥</m:t>
        </m:r>
        <m:sSup>
          <m:e>
            <m:r>
              <m:t>t</m:t>
            </m:r>
          </m:e>
          <m:sup>
            <m:r>
              <m:rPr>
                <m:sty m:val="p"/>
              </m:rPr>
              <m:t>*</m:t>
            </m:r>
          </m:sup>
        </m:sSup>
      </m:oMath>
      <w:r>
        <w:t xml:space="preserve"> [3], where</w:t>
      </w:r>
    </w:p>
    <w:p>
      <w:pPr>
        <w:pStyle w:val="BodyText"/>
        <w:tabs>
          <w:tab w:val="center" w:pos="2436"/>
          <w:tab w:val="right" w:pos="4873"/>
        </w:tabs>
        <w:spacing w:before="80" w:after="80"/>
        <w:ind w:firstLine="0"/>
        <w:jc w:val="left"/>
      </w:pPr>
      <w:r>
        <w:tab/>
      </w:r>
      <m:oMath>
        <m:sSup>
          <m:e>
            <m:r>
              <m:t>t</m:t>
            </m:r>
          </m:e>
          <m:sup>
            <m:r>
              <m:rPr>
                <m:sty m:val="p"/>
              </m:rPr>
              <m:t>*</m:t>
            </m:r>
          </m:sup>
        </m:sSup>
        <m:r>
          <m:rPr>
            <m:sty m:val="p"/>
          </m:rPr>
          <m:t>=</m:t>
        </m:r>
        <m:f>
          <m:fPr>
            <m:type m:val="bar"/>
          </m:fPr>
          <m:num>
            <m:sSub>
              <m:e>
                <m:r>
                  <m:t>C</m:t>
                </m:r>
              </m:e>
              <m:sub>
                <m:r>
                  <m:t>F</m:t>
                </m:r>
                <m:r>
                  <m:t>P</m:t>
                </m:r>
              </m:sub>
            </m:sSub>
          </m:num>
          <m:den>
            <m:sSub>
              <m:e>
                <m:r>
                  <m:t>C</m:t>
                </m:r>
              </m:e>
              <m:sub>
                <m:r>
                  <m:t>F</m:t>
                </m:r>
                <m:r>
                  <m:t>P</m:t>
                </m:r>
              </m:sub>
            </m:sSub>
            <m:r>
              <m:rPr>
                <m:sty m:val="p"/>
              </m:rPr>
              <m:t>+</m:t>
            </m:r>
            <m:sSub>
              <m:e>
                <m:r>
                  <m:t>C</m:t>
                </m:r>
              </m:e>
              <m:sub>
                <m:r>
                  <m:t>F</m:t>
                </m:r>
                <m:r>
                  <m:t>N</m:t>
                </m:r>
              </m:sub>
            </m:sSub>
          </m:den>
        </m:f>
        <m:r>
          <m:rPr>
            <m:sty m:val="p"/>
          </m:rPr>
          <m:t>=</m:t>
        </m:r>
        <m:f>
          <m:fPr>
            <m:type m:val="bar"/>
          </m:fPr>
          <m:num>
            <m:r>
              <m:t>1.0</m:t>
            </m:r>
          </m:num>
          <m:den>
            <m:r>
              <m:t>1.0</m:t>
            </m:r>
            <m:r>
              <m:rPr>
                <m:sty m:val="p"/>
              </m:rPr>
              <m:t>+</m:t>
            </m:r>
            <m:r>
              <m:t>5.0</m:t>
            </m:r>
          </m:den>
        </m:f>
        <m:r>
          <m:rPr>
            <m:sty m:val="p"/>
          </m:rPr>
          <m:t>=</m:t>
        </m:r>
        <m:r>
          <m:t>0.1667</m:t>
        </m:r>
      </m:oMath>
      <w:r>
        <w:tab/>
      </w:r>
      <w:r>
        <w:rPr>
          <w:rFonts w:ascii="Times New Roman" w:hAnsi="Times New Roman"/>
        </w:rPr>
        <w:t>(16)</w:t>
      </w:r>
    </w:p>
    <w:p>
      <w:pPr>
        <w:pStyle w:val="FirstParagraph"/>
      </w:pPr>
      <w:r>
        <w:t xml:space="preserve">This is a sanity reference rather than a target, because the three-action policy with a review cost is a different problem.</w:t>
      </w:r>
    </w:p>
    <w:bookmarkEnd w:id="38"/>
    <w:bookmarkEnd w:id="39"/>
    <w:bookmarkStart w:id="43" w:name="vi.-ares-system-and-adaptive-policies"/>
    <w:p>
      <w:pPr>
        <w:pStyle w:val="Heading1"/>
      </w:pPr>
      <w:r>
        <w:t xml:space="preserve">VI. ARES SYSTEM AND ADAPTIVE POLICIES</w:t>
      </w:r>
    </w:p>
    <w:bookmarkStart w:id="40" w:name="a.-pipeline"/>
    <w:p>
      <w:pPr>
        <w:pStyle w:val="Heading2"/>
      </w:pPr>
      <w:r>
        <w:t xml:space="preserve">A. Pipeline</w:t>
      </w:r>
    </w:p>
    <w:p>
      <w:pPr>
        <w:pStyle w:val="FirstParagraph"/>
      </w:pPr>
      <w:r>
        <w:t xml:space="preserve">ARES decodes a QR code to a URL, extracts 24 lexical features, and obtains a calibrated probability from an XGBoost [1] classifier wrapped in five-fold isotonic calibration [2] using scikit-learn [4]. A Streamlit application presents the verdict to the user, and the adaptive agent maps the probability to Allow, Review, or Block through the two thresholds.</w:t>
      </w:r>
    </w:p>
    <w:bookmarkEnd w:id="40"/>
    <w:bookmarkStart w:id="41" w:name="X4d8c1ed7d93723ff2473ffad9cbf6aeadbced8c"/>
    <w:p>
      <w:pPr>
        <w:pStyle w:val="Heading2"/>
      </w:pPr>
      <w:r>
        <w:t xml:space="preserve">B. Policy 1: Heuristic Reinforcement-Style Controller</w:t>
      </w:r>
    </w:p>
    <w:p>
      <w:pPr>
        <w:pStyle w:val="FirstParagraph"/>
      </w:pPr>
      <w:r>
        <w:t xml:space="preserve">The agent can adapt thresholds from user feedback in the manner of reward-driven learning [8]. After </w:t>
      </w:r>
      <m:oMath>
        <m:r>
          <m:t>n</m:t>
        </m:r>
      </m:oMath>
      <w:r>
        <w:t xml:space="preserve"> feedback episodes the step size is</w:t>
      </w:r>
    </w:p>
    <w:p>
      <w:pPr>
        <w:pStyle w:val="BodyText"/>
        <w:tabs>
          <w:tab w:val="center" w:pos="2436"/>
          <w:tab w:val="right" w:pos="4873"/>
        </w:tabs>
        <w:spacing w:before="80" w:after="80"/>
        <w:ind w:firstLine="0"/>
        <w:jc w:val="left"/>
      </w:pPr>
      <w:r>
        <w:tab/>
      </w:r>
      <m:oMath>
        <m:sSub>
          <m:e>
            <m:r>
              <m:t>η</m:t>
            </m:r>
          </m:e>
          <m:sub>
            <m:r>
              <m:t>n</m:t>
            </m:r>
          </m:sub>
        </m:sSub>
        <m:r>
          <m:rPr>
            <m:sty m:val="p"/>
          </m:rPr>
          <m:t>=</m:t>
        </m:r>
        <m:r>
          <m:rPr>
            <m:sty m:val="p"/>
          </m:rPr>
          <m:t>max</m:t>
        </m:r>
        <m:r>
          <m:t>​</m:t>
        </m:r>
        <m:d>
          <m:dPr>
            <m:begChr m:val="("/>
            <m:endChr m:val=")"/>
            <m:sepChr m:val=""/>
            <m:grow/>
          </m:dPr>
          <m:e>
            <m:r>
              <m:t>0.015</m:t>
            </m:r>
            <m:r>
              <m:rPr>
                <m:sty m:val="p"/>
              </m:rPr>
              <m:t>,</m:t>
            </m:r>
            <m:r>
              <m:t> </m:t>
            </m:r>
            <m:f>
              <m:fPr>
                <m:type m:val="bar"/>
              </m:fPr>
              <m:num>
                <m:r>
                  <m:t>0.05</m:t>
                </m:r>
              </m:num>
              <m:den>
                <m:r>
                  <m:t>1</m:t>
                </m:r>
                <m:r>
                  <m:rPr>
                    <m:sty m:val="p"/>
                  </m:rPr>
                  <m:t>+</m:t>
                </m:r>
                <m:r>
                  <m:t>0.05</m:t>
                </m:r>
                <m:r>
                  <m:t> </m:t>
                </m:r>
                <m:r>
                  <m:t>n</m:t>
                </m:r>
              </m:den>
            </m:f>
          </m:e>
        </m:d>
      </m:oMath>
      <w:r>
        <w:tab/>
      </w:r>
      <w:r>
        <w:rPr>
          <w:rFonts w:ascii="Times New Roman" w:hAnsi="Times New Roman"/>
        </w:rPr>
        <w:t>(17)</w:t>
      </w:r>
    </w:p>
    <w:p>
      <w:pPr>
        <w:pStyle w:val="FirstParagraph"/>
      </w:pPr>
      <w:r>
        <w:t xml:space="preserve">and Table II gives the rewards and updates. Both thresholds move together and are then clipped to the feasible region.</w:t>
      </w:r>
    </w:p>
    <w:p>
      <w:pPr>
        <w:pStyle w:val="TableCaption"/>
      </w:pPr>
      <w:r>
        <w:t xml:space="preserve">TABLE II</w:t>
      </w:r>
    </w:p>
    <w:p>
      <w:pPr>
        <w:pStyle w:val="TableCaption"/>
      </w:pPr>
      <w:r>
        <w:t xml:space="preserve">REWARDS AND UPDATES IN THE HEURISTIC POLICY</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656"/>
        <w:gridCol w:w="1851"/>
        <w:gridCol w:w="1366"/>
      </w:tblGrid>
      <w:tr>
        <w:trPr>
          <w:tblHeader w:val="true"/>
        </w:trPr>
        <w:tc>
          <w:tcPr>
            <w:tcW w:w="1656" w:type="dxa"/>
            <w:tcBorders>
              <w:bottom w:val="single" w:sz="4" w:color="000000"/>
            </w:tcBorders>
          </w:tcPr>
          <w:p>
            <w:pPr>
              <w:pStyle w:val="Compact"/>
              <w:spacing w:after="0"/>
              <w:ind w:firstLine="0"/>
              <w:jc w:val="left"/>
            </w:pPr>
            <w:r>
              <w:rPr>
                <w:rFonts w:ascii="Times New Roman" w:hAnsi="Times New Roman"/>
                <w:b/>
                <w:sz w:val="16"/>
              </w:rPr>
              <w:t xml:space="preserve">Verdict</w:t>
            </w:r>
          </w:p>
        </w:tc>
        <w:tc>
          <w:tcPr>
            <w:tcW w:w="1851" w:type="dxa"/>
            <w:tcBorders>
              <w:bottom w:val="single" w:sz="4" w:color="000000"/>
            </w:tcBorders>
          </w:tcPr>
          <w:p>
            <w:pPr>
              <w:pStyle w:val="Compact"/>
              <w:spacing w:after="0"/>
              <w:ind w:firstLine="0"/>
              <w:jc w:val="left"/>
            </w:pPr>
            <w:r>
              <w:rPr>
                <w:rFonts w:ascii="Times New Roman" w:hAnsi="Times New Roman"/>
                <w:b/>
                <w:sz w:val="16"/>
              </w:rPr>
              <w:t xml:space="preserve">Reward</w:t>
            </w:r>
          </w:p>
        </w:tc>
        <w:tc>
          <w:tcPr>
            <w:tcW w:w="1366" w:type="dxa"/>
            <w:tcBorders>
              <w:bottom w:val="single" w:sz="4" w:color="000000"/>
            </w:tcBorders>
          </w:tcPr>
          <w:p>
            <w:pPr>
              <w:pStyle w:val="Compact"/>
              <w:spacing w:after="0"/>
              <w:ind w:firstLine="0"/>
              <w:jc w:val="left"/>
            </w:pPr>
            <w:r>
              <w:rPr>
                <w:rFonts w:ascii="Times New Roman" w:hAnsi="Times New Roman"/>
                <w:b/>
                <w:sz w:val="16"/>
              </w:rPr>
              <w:t xml:space="preserve">Threshold update</w:t>
            </w:r>
          </w:p>
        </w:tc>
      </w:tr>
      <w:tr>
        <w:tc>
          <w:tcPr>
            <w:tcW w:w="1656" w:type="dxa"/>
          </w:tcPr>
          <w:p>
            <w:pPr>
              <w:pStyle w:val="Compact"/>
              <w:spacing w:after="0"/>
              <w:ind w:firstLine="0"/>
              <w:jc w:val="left"/>
            </w:pPr>
            <w:r>
              <w:rPr>
                <w:rFonts w:ascii="Times New Roman" w:hAnsi="Times New Roman"/>
                <w:sz w:val="16"/>
              </w:rPr>
              <w:t xml:space="preserve">Correct</w:t>
            </w:r>
          </w:p>
        </w:tc>
        <w:tc>
          <w:tcPr>
            <w:tcW w:w="1851" w:type="dxa"/>
          </w:tcPr>
          <w:p>
            <w:pPr>
              <w:pStyle w:val="Compact"/>
              <w:spacing w:after="0"/>
              <w:ind w:firstLine="0"/>
              <w:jc w:val="left"/>
            </w:pPr>
            <w:r>
              <w:rPr>
                <w:rFonts w:ascii="Times New Roman" w:hAnsi="Times New Roman"/>
                <w:sz w:val="16"/>
              </w:rPr>
              <w:t xml:space="preserve">+1.0</w:t>
            </w:r>
          </w:p>
        </w:tc>
        <w:tc>
          <w:tcPr>
            <w:tcW w:w="1366" w:type="dxa"/>
          </w:tcPr>
          <w:p>
            <w:pPr>
              <w:pStyle w:val="Compact"/>
              <w:spacing w:after="0"/>
              <w:ind w:firstLine="0"/>
              <w:jc w:val="left"/>
            </w:pPr>
            <w:r>
              <w:rPr>
                <w:rFonts w:ascii="Times New Roman" w:hAnsi="Times New Roman"/>
                <w:sz w:val="16"/>
              </w:rPr>
              <w:t xml:space="preserve">drift toward (0.35, 0.70), at most </w:t>
            </w:r>
            <m:oMath>
              <m:sSub>
                <m:e>
                  <m:r>
                    <m:t>η</m:t>
                  </m:r>
                </m:e>
                <m:sub>
                  <m:r>
                    <m:t>n</m:t>
                  </m:r>
                </m:sub>
              </m:sSub>
              <m:r>
                <m:rPr>
                  <m:sty m:val="p"/>
                </m:rPr>
                <m:t>/</m:t>
              </m:r>
              <m:r>
                <m:t>4</m:t>
              </m:r>
            </m:oMath>
          </w:p>
        </w:tc>
      </w:tr>
      <w:tr>
        <w:tc>
          <w:tcPr>
            <w:tcW w:w="1656" w:type="dxa"/>
          </w:tcPr>
          <w:p>
            <w:pPr>
              <w:pStyle w:val="Compact"/>
              <w:spacing w:after="0"/>
              <w:ind w:firstLine="0"/>
              <w:jc w:val="left"/>
            </w:pPr>
            <w:r>
              <w:rPr>
                <w:rFonts w:ascii="Times New Roman" w:hAnsi="Times New Roman"/>
                <w:sz w:val="16"/>
              </w:rPr>
              <w:t xml:space="preserve">False positive</w:t>
            </w:r>
          </w:p>
        </w:tc>
        <w:tc>
          <w:tcPr>
            <w:tcW w:w="1851" w:type="dxa"/>
          </w:tcPr>
          <w:p>
            <w:pPr>
              <w:pStyle w:val="Compact"/>
              <w:spacing w:after="0"/>
              <w:ind w:firstLine="0"/>
              <w:jc w:val="left"/>
            </w:pPr>
            <w:r>
              <w:rPr>
                <w:rFonts w:ascii="Times New Roman" w:hAnsi="Times New Roman"/>
                <w:sz w:val="16"/>
              </w:rPr>
              <w:t xml:space="preserve">−1.5</w:t>
            </w:r>
          </w:p>
        </w:tc>
        <w:tc>
          <w:tcPr>
            <w:tcW w:w="1366" w:type="dxa"/>
          </w:tcPr>
          <w:p>
            <w:pPr>
              <w:pStyle w:val="Compact"/>
              <w:spacing w:after="0"/>
              <w:ind w:firstLine="0"/>
              <w:jc w:val="left"/>
            </w:pPr>
            <w:r>
              <w:rPr>
                <w:rFonts w:ascii="Times New Roman" w:hAnsi="Times New Roman"/>
                <w:sz w:val="16"/>
              </w:rPr>
              <w:t xml:space="preserve">both up by </w:t>
            </w:r>
            <m:oMath>
              <m:sSub>
                <m:e>
                  <m:r>
                    <m:t>η</m:t>
                  </m:r>
                </m:e>
                <m:sub>
                  <m:r>
                    <m:t>n</m:t>
                  </m:r>
                </m:sub>
              </m:sSub>
              <m:d>
                <m:dPr>
                  <m:begChr m:val="("/>
                  <m:endChr m:val=")"/>
                  <m:sepChr m:val=""/>
                  <m:grow/>
                </m:dPr>
                <m:e>
                  <m:r>
                    <m:t>1.25</m:t>
                  </m:r>
                  <m:r>
                    <m:rPr>
                      <m:sty m:val="p"/>
                    </m:rPr>
                    <m:t>+</m:t>
                  </m:r>
                  <m:r>
                    <m:rPr>
                      <m:sty m:val="p"/>
                    </m:rPr>
                    <m:t>max</m:t>
                  </m:r>
                  <m:d>
                    <m:dPr>
                      <m:begChr m:val="("/>
                      <m:endChr m:val=")"/>
                      <m:sepChr m:val=""/>
                      <m:grow/>
                    </m:dPr>
                    <m:e>
                      <m:r>
                        <m:t>0</m:t>
                      </m:r>
                      <m:r>
                        <m:rPr>
                          <m:sty m:val="p"/>
                        </m:rPr>
                        <m:t>,</m:t>
                      </m:r>
                      <m:r>
                        <m:t>p</m:t>
                      </m:r>
                      <m:r>
                        <m:rPr>
                          <m:sty m:val="p"/>
                        </m:rPr>
                        <m:t>−</m:t>
                      </m:r>
                      <m:sSub>
                        <m:e>
                          <m:r>
                            <m:t>θ</m:t>
                          </m:r>
                        </m:e>
                        <m:sub>
                          <m:r>
                            <m:t>r</m:t>
                          </m:r>
                        </m:sub>
                      </m:sSub>
                    </m:e>
                  </m:d>
                </m:e>
              </m:d>
            </m:oMath>
          </w:p>
        </w:tc>
      </w:tr>
      <w:tr>
        <w:tc>
          <w:tcPr>
            <w:tcW w:w="1656" w:type="dxa"/>
          </w:tcPr>
          <w:p>
            <w:pPr>
              <w:pStyle w:val="Compact"/>
              <w:spacing w:after="0"/>
              <w:ind w:firstLine="0"/>
              <w:jc w:val="left"/>
            </w:pPr>
            <w:r>
              <w:rPr>
                <w:rFonts w:ascii="Times New Roman" w:hAnsi="Times New Roman"/>
                <w:sz w:val="16"/>
              </w:rPr>
              <w:t xml:space="preserve">False negative</w:t>
            </w:r>
          </w:p>
        </w:tc>
        <w:tc>
          <w:tcPr>
            <w:tcW w:w="1851" w:type="dxa"/>
          </w:tcPr>
          <w:p>
            <w:pPr>
              <w:pStyle w:val="Compact"/>
              <w:spacing w:after="0"/>
              <w:ind w:firstLine="0"/>
              <w:jc w:val="left"/>
            </w:pPr>
            <w:r>
              <w:rPr>
                <w:rFonts w:ascii="Times New Roman" w:hAnsi="Times New Roman"/>
                <w:sz w:val="16"/>
              </w:rPr>
              <w:t xml:space="preserve">−3.0</w:t>
            </w:r>
          </w:p>
        </w:tc>
        <w:tc>
          <w:tcPr>
            <w:tcW w:w="1366" w:type="dxa"/>
          </w:tcPr>
          <w:p>
            <w:pPr>
              <w:pStyle w:val="Compact"/>
              <w:spacing w:after="0"/>
              <w:ind w:firstLine="0"/>
              <w:jc w:val="left"/>
            </w:pPr>
            <w:r>
              <w:rPr>
                <w:rFonts w:ascii="Times New Roman" w:hAnsi="Times New Roman"/>
                <w:sz w:val="16"/>
              </w:rPr>
              <w:t xml:space="preserve">both down by </w:t>
            </w:r>
            <m:oMath>
              <m:sSub>
                <m:e>
                  <m:r>
                    <m:t>η</m:t>
                  </m:r>
                </m:e>
                <m:sub>
                  <m:r>
                    <m:t>n</m:t>
                  </m:r>
                </m:sub>
              </m:sSub>
              <m:d>
                <m:dPr>
                  <m:begChr m:val="("/>
                  <m:endChr m:val=")"/>
                  <m:sepChr m:val=""/>
                  <m:grow/>
                </m:dPr>
                <m:e>
                  <m:r>
                    <m:t>1.75</m:t>
                  </m:r>
                  <m:r>
                    <m:rPr>
                      <m:sty m:val="p"/>
                    </m:rPr>
                    <m:t>+</m:t>
                  </m:r>
                  <m:r>
                    <m:rPr>
                      <m:sty m:val="p"/>
                    </m:rPr>
                    <m:t>max</m:t>
                  </m:r>
                  <m:d>
                    <m:dPr>
                      <m:begChr m:val="("/>
                      <m:endChr m:val=")"/>
                      <m:sepChr m:val=""/>
                      <m:grow/>
                    </m:dPr>
                    <m:e>
                      <m:r>
                        <m:t>0</m:t>
                      </m:r>
                      <m:r>
                        <m:rPr>
                          <m:sty m:val="p"/>
                        </m:rPr>
                        <m:t>,</m:t>
                      </m:r>
                      <m:sSub>
                        <m:e>
                          <m:r>
                            <m:t>θ</m:t>
                          </m:r>
                        </m:e>
                        <m:sub>
                          <m:r>
                            <m:t>b</m:t>
                          </m:r>
                        </m:sub>
                      </m:sSub>
                      <m:r>
                        <m:rPr>
                          <m:sty m:val="p"/>
                        </m:rPr>
                        <m:t>−</m:t>
                      </m:r>
                      <m:r>
                        <m:t>p</m:t>
                      </m:r>
                    </m:e>
                  </m:d>
                </m:e>
              </m:d>
            </m:oMath>
          </w:p>
        </w:tc>
      </w:tr>
    </w:tbl>
    <w:bookmarkEnd w:id="41"/>
    <w:bookmarkStart w:id="42" w:name="c.-policy-2-calculus-based-optimization"/>
    <w:p>
      <w:pPr>
        <w:pStyle w:val="Heading2"/>
      </w:pPr>
      <w:r>
        <w:t xml:space="preserve">C. Policy 2: Calculus-Based Optimization</w:t>
      </w:r>
    </w:p>
    <w:p>
      <w:pPr>
        <w:pStyle w:val="FirstParagraph"/>
      </w:pPr>
      <w:r>
        <w:t xml:space="preserve">The method </w:t>
      </w:r>
      <w:r>
        <w:rPr>
          <w:rStyle w:val="VerbatimChar"/>
        </w:rPr>
        <w:t xml:space="preserve">optimize_with_calculus</w:t>
      </w:r>
      <w:r>
        <w:t xml:space="preserve"> runs the solver of Section IV on labelled probabilities, stores the resulting thresholds in the agent state, and records the derivative checks as metadata. Table III compares the two policies.</w:t>
      </w:r>
    </w:p>
    <w:p>
      <w:pPr>
        <w:pStyle w:val="TableCaption"/>
      </w:pPr>
      <w:r>
        <w:t xml:space="preserve">TABLE III</w:t>
      </w:r>
    </w:p>
    <w:p>
      <w:pPr>
        <w:pStyle w:val="TableCaption"/>
      </w:pPr>
      <w:r>
        <w:t xml:space="preserve">COMPARISON OF THE TWO POLICIES</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656"/>
        <w:gridCol w:w="1851"/>
        <w:gridCol w:w="1366"/>
      </w:tblGrid>
      <w:tr>
        <w:trPr>
          <w:tblHeader w:val="true"/>
        </w:trPr>
        <w:tc>
          <w:tcPr>
            <w:tcW w:w="1656" w:type="dxa"/>
            <w:tcBorders>
              <w:bottom w:val="single" w:sz="4" w:color="000000"/>
            </w:tcBorders>
          </w:tcPr>
          <w:p>
            <w:pPr>
              <w:pStyle w:val="Compact"/>
              <w:spacing w:after="0"/>
              <w:ind w:firstLine="0"/>
              <w:jc w:val="left"/>
            </w:pPr>
            <w:r>
              <w:rPr>
                <w:rFonts w:ascii="Times New Roman" w:hAnsi="Times New Roman"/>
                <w:b/>
                <w:sz w:val="16"/>
              </w:rPr>
              <w:t xml:space="preserve">Aspect</w:t>
            </w:r>
          </w:p>
        </w:tc>
        <w:tc>
          <w:tcPr>
            <w:tcW w:w="1851" w:type="dxa"/>
            <w:tcBorders>
              <w:bottom w:val="single" w:sz="4" w:color="000000"/>
            </w:tcBorders>
          </w:tcPr>
          <w:p>
            <w:pPr>
              <w:pStyle w:val="Compact"/>
              <w:spacing w:after="0"/>
              <w:ind w:firstLine="0"/>
              <w:jc w:val="left"/>
            </w:pPr>
            <w:r>
              <w:rPr>
                <w:rFonts w:ascii="Times New Roman" w:hAnsi="Times New Roman"/>
                <w:b/>
                <w:sz w:val="16"/>
              </w:rPr>
              <w:t xml:space="preserve">Heuristic</w:t>
            </w:r>
          </w:p>
        </w:tc>
        <w:tc>
          <w:tcPr>
            <w:tcW w:w="1366" w:type="dxa"/>
            <w:tcBorders>
              <w:bottom w:val="single" w:sz="4" w:color="000000"/>
            </w:tcBorders>
          </w:tcPr>
          <w:p>
            <w:pPr>
              <w:pStyle w:val="Compact"/>
              <w:spacing w:after="0"/>
              <w:ind w:firstLine="0"/>
              <w:jc w:val="left"/>
            </w:pPr>
            <w:r>
              <w:rPr>
                <w:rFonts w:ascii="Times New Roman" w:hAnsi="Times New Roman"/>
                <w:b/>
                <w:sz w:val="16"/>
              </w:rPr>
              <w:t xml:space="preserve">Calculus</w:t>
            </w:r>
          </w:p>
        </w:tc>
      </w:tr>
      <w:tr>
        <w:tc>
          <w:tcPr>
            <w:tcW w:w="1656" w:type="dxa"/>
          </w:tcPr>
          <w:p>
            <w:pPr>
              <w:pStyle w:val="Compact"/>
              <w:spacing w:after="0"/>
              <w:ind w:firstLine="0"/>
              <w:jc w:val="left"/>
            </w:pPr>
            <w:r>
              <w:rPr>
                <w:rFonts w:ascii="Times New Roman" w:hAnsi="Times New Roman"/>
                <w:sz w:val="16"/>
              </w:rPr>
              <w:t xml:space="preserve">Data needed</w:t>
            </w:r>
          </w:p>
        </w:tc>
        <w:tc>
          <w:tcPr>
            <w:tcW w:w="1851" w:type="dxa"/>
          </w:tcPr>
          <w:p>
            <w:pPr>
              <w:pStyle w:val="Compact"/>
              <w:spacing w:after="0"/>
              <w:ind w:firstLine="0"/>
              <w:jc w:val="left"/>
            </w:pPr>
            <w:r>
              <w:rPr>
                <w:rFonts w:ascii="Times New Roman" w:hAnsi="Times New Roman"/>
                <w:sz w:val="16"/>
              </w:rPr>
              <w:t xml:space="preserve">user verdict stream</w:t>
            </w:r>
          </w:p>
        </w:tc>
        <w:tc>
          <w:tcPr>
            <w:tcW w:w="1366" w:type="dxa"/>
          </w:tcPr>
          <w:p>
            <w:pPr>
              <w:pStyle w:val="Compact"/>
              <w:spacing w:after="0"/>
              <w:ind w:firstLine="0"/>
              <w:jc w:val="left"/>
            </w:pPr>
            <w:r>
              <w:rPr>
                <w:rFonts w:ascii="Times New Roman" w:hAnsi="Times New Roman"/>
                <w:sz w:val="16"/>
              </w:rPr>
              <w:t xml:space="preserve">labelled batch</w:t>
            </w:r>
          </w:p>
        </w:tc>
      </w:tr>
      <w:tr>
        <w:tc>
          <w:tcPr>
            <w:tcW w:w="1656" w:type="dxa"/>
          </w:tcPr>
          <w:p>
            <w:pPr>
              <w:pStyle w:val="Compact"/>
              <w:spacing w:after="0"/>
              <w:ind w:firstLine="0"/>
              <w:jc w:val="left"/>
            </w:pPr>
            <w:r>
              <w:rPr>
                <w:rFonts w:ascii="Times New Roman" w:hAnsi="Times New Roman"/>
                <w:sz w:val="16"/>
              </w:rPr>
              <w:t xml:space="preserve">Objective</w:t>
            </w:r>
          </w:p>
        </w:tc>
        <w:tc>
          <w:tcPr>
            <w:tcW w:w="1851" w:type="dxa"/>
          </w:tcPr>
          <w:p>
            <w:pPr>
              <w:pStyle w:val="Compact"/>
              <w:spacing w:after="0"/>
              <w:ind w:firstLine="0"/>
              <w:jc w:val="left"/>
            </w:pPr>
            <w:r>
              <w:rPr>
                <w:rFonts w:ascii="Times New Roman" w:hAnsi="Times New Roman"/>
                <w:sz w:val="16"/>
              </w:rPr>
              <w:t xml:space="preserve">implicit (rewards)</w:t>
            </w:r>
          </w:p>
        </w:tc>
        <w:tc>
          <w:tcPr>
            <w:tcW w:w="1366" w:type="dxa"/>
          </w:tcPr>
          <w:p>
            <w:pPr>
              <w:pStyle w:val="Compact"/>
              <w:spacing w:after="0"/>
              <w:ind w:firstLine="0"/>
              <w:jc w:val="left"/>
            </w:pPr>
            <w:r>
              <w:rPr>
                <w:rFonts w:ascii="Times New Roman" w:hAnsi="Times New Roman"/>
                <w:sz w:val="16"/>
              </w:rPr>
              <w:t xml:space="preserve">explicit cost </w:t>
            </w:r>
            <m:oMath>
              <m:acc>
                <m:accPr>
                  <m:chr m:val="̃"/>
                </m:accPr>
                <m:e>
                  <m:r>
                    <m:t>J</m:t>
                  </m:r>
                </m:e>
              </m:acc>
            </m:oMath>
          </w:p>
        </w:tc>
      </w:tr>
      <w:tr>
        <w:tc>
          <w:tcPr>
            <w:tcW w:w="1656" w:type="dxa"/>
          </w:tcPr>
          <w:p>
            <w:pPr>
              <w:pStyle w:val="Compact"/>
              <w:spacing w:after="0"/>
              <w:ind w:firstLine="0"/>
              <w:jc w:val="left"/>
            </w:pPr>
            <w:r>
              <w:rPr>
                <w:rFonts w:ascii="Times New Roman" w:hAnsi="Times New Roman"/>
                <w:sz w:val="16"/>
              </w:rPr>
              <w:t xml:space="preserve">Optimality evidence</w:t>
            </w:r>
          </w:p>
        </w:tc>
        <w:tc>
          <w:tcPr>
            <w:tcW w:w="1851" w:type="dxa"/>
          </w:tcPr>
          <w:p>
            <w:pPr>
              <w:pStyle w:val="Compact"/>
              <w:spacing w:after="0"/>
              <w:ind w:firstLine="0"/>
              <w:jc w:val="left"/>
            </w:pPr>
            <w:r>
              <w:rPr>
                <w:rFonts w:ascii="Times New Roman" w:hAnsi="Times New Roman"/>
                <w:sz w:val="16"/>
              </w:rPr>
              <w:t xml:space="preserve">none</w:t>
            </w:r>
          </w:p>
        </w:tc>
        <w:tc>
          <w:tcPr>
            <w:tcW w:w="1366" w:type="dxa"/>
          </w:tcPr>
          <w:p>
            <w:pPr>
              <w:pStyle w:val="Compact"/>
              <w:spacing w:after="0"/>
              <w:ind w:firstLine="0"/>
              <w:jc w:val="left"/>
            </w:pPr>
            <w:r>
              <w:rPr>
                <w:rFonts w:ascii="Times New Roman" w:hAnsi="Times New Roman"/>
                <w:sz w:val="16"/>
              </w:rPr>
              <w:t xml:space="preserve">gradient, curvature, KKT</w:t>
            </w:r>
          </w:p>
        </w:tc>
      </w:tr>
      <w:tr>
        <w:tc>
          <w:tcPr>
            <w:tcW w:w="1656" w:type="dxa"/>
          </w:tcPr>
          <w:p>
            <w:pPr>
              <w:pStyle w:val="Compact"/>
              <w:spacing w:after="0"/>
              <w:ind w:firstLine="0"/>
              <w:jc w:val="left"/>
            </w:pPr>
            <w:r>
              <w:rPr>
                <w:rFonts w:ascii="Times New Roman" w:hAnsi="Times New Roman"/>
                <w:sz w:val="16"/>
              </w:rPr>
              <w:t xml:space="preserve">Adaptivity</w:t>
            </w:r>
          </w:p>
        </w:tc>
        <w:tc>
          <w:tcPr>
            <w:tcW w:w="1851" w:type="dxa"/>
          </w:tcPr>
          <w:p>
            <w:pPr>
              <w:pStyle w:val="Compact"/>
              <w:spacing w:after="0"/>
              <w:ind w:firstLine="0"/>
              <w:jc w:val="left"/>
            </w:pPr>
            <w:r>
              <w:rPr>
                <w:rFonts w:ascii="Times New Roman" w:hAnsi="Times New Roman"/>
                <w:sz w:val="16"/>
              </w:rPr>
              <w:t xml:space="preserve">online</w:t>
            </w:r>
          </w:p>
        </w:tc>
        <w:tc>
          <w:tcPr>
            <w:tcW w:w="1366" w:type="dxa"/>
          </w:tcPr>
          <w:p>
            <w:pPr>
              <w:pStyle w:val="Compact"/>
              <w:spacing w:after="0"/>
              <w:ind w:firstLine="0"/>
              <w:jc w:val="left"/>
            </w:pPr>
            <w:r>
              <w:rPr>
                <w:rFonts w:ascii="Times New Roman" w:hAnsi="Times New Roman"/>
                <w:sz w:val="16"/>
              </w:rPr>
              <w:t xml:space="preserve">offline, re-run on new data</w:t>
            </w:r>
          </w:p>
        </w:tc>
      </w:tr>
    </w:tbl>
    <w:p>
      <w:pPr>
        <w:pStyle w:val="BodyText"/>
      </w:pPr>
      <w:r>
        <w:t xml:space="preserve">The policies are complementary: the calculus policy sets a principled operating point, and the heuristic policy can refine it from field feedback.</w:t>
      </w:r>
    </w:p>
    <w:bookmarkEnd w:id="42"/>
    <w:bookmarkEnd w:id="43"/>
    <w:bookmarkStart w:id="44" w:name="vii.-experimental-setup"/>
    <w:p>
      <w:pPr>
        <w:pStyle w:val="Heading1"/>
      </w:pPr>
      <w:r>
        <w:t xml:space="preserve">VII. EXPERIMENTAL SETUP</w:t>
      </w:r>
    </w:p>
    <w:p>
      <w:pPr>
        <w:pStyle w:val="FirstParagraph"/>
      </w:pPr>
      <w:r>
        <w:rPr>
          <w:iCs/>
          <w:i/>
        </w:rPr>
        <w:t xml:space="preserve">Data.</w:t>
      </w:r>
      <w:r>
        <w:t xml:space="preserve"> The source file contains 160064 rows (820 benign, 159244 phishing). A semi-synthetic evaluation set is built by generating path and parameter variants of each benign domain and sampling phishing URLs at twice the benign count. The random seed is 42 and scikit-learn is version 1.5.2.</w:t>
      </w:r>
    </w:p>
    <w:p>
      <w:pPr>
        <w:pStyle w:val="BodyText"/>
      </w:pPr>
      <w:r>
        <w:rPr>
          <w:iCs/>
          <w:i/>
        </w:rPr>
        <w:t xml:space="preserve">Split and calibration.</w:t>
      </w:r>
      <w:r>
        <w:t xml:space="preserve"> An 80/20 </w:t>
      </w:r>
      <w:r>
        <w:rPr>
          <w:rStyle w:val="VerbatimChar"/>
        </w:rPr>
        <w:t xml:space="preserve">GroupShuffleSplit</w:t>
      </w:r>
      <w:r>
        <w:t xml:space="preserve"> by registrable domain gives 17057 training URLs (5985 domains) and 5083 test URLs (1497 domains), with test phishing prevalence 0.7478. Absence of domain overlap between training and test sets, and across calibration folds, was verified programmatically.</w:t>
      </w:r>
    </w:p>
    <w:p>
      <w:pPr>
        <w:pStyle w:val="BodyText"/>
      </w:pPr>
      <w:r>
        <w:rPr>
          <w:iCs/>
          <w:i/>
        </w:rPr>
        <w:t xml:space="preserve">Model.</w:t>
      </w:r>
      <w:r>
        <w:t xml:space="preserve"> The classifier is an XGBClassifier with 400 trees, maximum depth 8, learning rate 0.05, subsample 0.9, column subsample 0.9, </w:t>
      </w:r>
      <w:r>
        <w:rPr>
          <w:rStyle w:val="VerbatimChar"/>
        </w:rPr>
        <w:t xml:space="preserve">scale_pos_weight</w:t>
      </w:r>
      <w:r>
        <w:t xml:space="preserve"> of 0.556, histogram tree method, and logistic objective, wrapped in five-fold </w:t>
      </w:r>
      <w:r>
        <w:rPr>
          <w:rStyle w:val="VerbatimChar"/>
        </w:rPr>
        <w:t xml:space="preserve">GroupKFold</w:t>
      </w:r>
      <w:r>
        <w:t xml:space="preserve"> isotonic calibration.</w:t>
      </w:r>
    </w:p>
    <w:p>
      <w:pPr>
        <w:pStyle w:val="BodyText"/>
      </w:pPr>
      <w:r>
        <w:rPr>
          <w:iCs/>
          <w:i/>
        </w:rPr>
        <w:t xml:space="preserve">Threshold comparison.</w:t>
      </w:r>
      <w:r>
        <w:t xml:space="preserve"> Baseline thresholds </w:t>
      </w:r>
      <m:oMath>
        <m:d>
          <m:dPr>
            <m:begChr m:val="("/>
            <m:endChr m:val=")"/>
            <m:sepChr m:val=""/>
            <m:grow/>
          </m:dPr>
          <m:e>
            <m:r>
              <m:t>0.35</m:t>
            </m:r>
            <m:r>
              <m:rPr>
                <m:sty m:val="p"/>
              </m:rPr>
              <m:t>,</m:t>
            </m:r>
            <m:r>
              <m:t>0.70</m:t>
            </m:r>
          </m:e>
        </m:d>
      </m:oMath>
      <w:r>
        <w:t xml:space="preserve"> are compared with the calculus-optimized pair on the same 5083 test probabilities, using </w:t>
      </w:r>
      <m:oMath>
        <m:sSub>
          <m:e>
            <m:r>
              <m:t>C</m:t>
            </m:r>
          </m:e>
          <m:sub>
            <m:r>
              <m:t>F</m:t>
            </m:r>
            <m:r>
              <m:t>P</m:t>
            </m:r>
          </m:sub>
        </m:sSub>
        <m:r>
          <m:rPr>
            <m:sty m:val="p"/>
          </m:rPr>
          <m:t>=</m:t>
        </m:r>
        <m:r>
          <m:t>1.0</m:t>
        </m:r>
      </m:oMath>
      <w:r>
        <w:t xml:space="preserve">, </w:t>
      </w:r>
      <m:oMath>
        <m:sSub>
          <m:e>
            <m:r>
              <m:t>C</m:t>
            </m:r>
          </m:e>
          <m:sub>
            <m:r>
              <m:t>F</m:t>
            </m:r>
            <m:r>
              <m:t>N</m:t>
            </m:r>
          </m:sub>
        </m:sSub>
        <m:r>
          <m:rPr>
            <m:sty m:val="p"/>
          </m:rPr>
          <m:t>=</m:t>
        </m:r>
        <m:r>
          <m:t>5.0</m:t>
        </m:r>
      </m:oMath>
      <w:r>
        <w:t xml:space="preserve">, and </w:t>
      </w:r>
      <m:oMath>
        <m:sSub>
          <m:e>
            <m:r>
              <m:t>C</m:t>
            </m:r>
          </m:e>
          <m:sub>
            <m:r>
              <m:rPr>
                <m:sty m:val="p"/>
              </m:rPr>
              <m:t>review</m:t>
            </m:r>
          </m:sub>
        </m:sSub>
        <m:r>
          <m:rPr>
            <m:sty m:val="p"/>
          </m:rPr>
          <m:t>=</m:t>
        </m:r>
        <m:r>
          <m:t>0.5</m:t>
        </m:r>
      </m:oMath>
      <w:r>
        <w:t xml:space="preserve">.</w:t>
      </w:r>
    </w:p>
    <w:p>
      <w:pPr>
        <w:pStyle w:val="BodyText"/>
      </w:pPr>
      <w:r>
        <w:rPr>
          <w:i/>
          <w:iCs/>
        </w:rPr>
        <w:t xml:space="preserve">Tuning/evaluation split.</w:t>
      </w:r>
      <w:r>
        <w:t xml:space="preserve"> To address in-sample bias, we split the test set by registrable domain into a tuning set (4066 URLs, 80%) and a final evaluation set (1017 URLs, 20%). Optimization on the tuning set gives </w:t>
      </w:r>
      <m:oMath>
        <m:sSub>
          <m:e>
            <m:r>
              <m:t xml:space="preserve">θ</m:t>
            </m:r>
          </m:e>
          <m:sub>
            <m:r>
              <m:t xml:space="preserve">r</m:t>
            </m:r>
          </m:sub>
        </m:sSub>
        <m:r>
          <m:rPr>
            <m:sty m:val="p"/>
          </m:rPr>
          <m:t xml:space="preserve">,</m:t>
        </m:r>
        <m:sSub>
          <m:e>
            <m:r>
              <m:t xml:space="preserve">θ</m:t>
            </m:r>
          </m:e>
          <m:sub>
            <m:r>
              <m:t xml:space="preserve">b</m:t>
            </m:r>
          </m:sub>
        </m:sSub>
        <m:r>
          <m:rPr>
            <m:sty m:val="p"/>
          </m:rPr>
          <m:t xml:space="preserve">=</m:t>
        </m:r>
        <m:r>
          <m:rPr>
            <m:sty m:val="p"/>
          </m:rPr>
          <m:t xml:space="preserve">0.60, 0.75</m:t>
        </m:r>
      </m:oMath>
      <w:r>
        <w:t xml:space="preserve">. </w:t>
      </w:r>
      <w:r>
        <w:t xml:space="preserve">Final evaluation on the held-out 1017 URLs shows a cost of 0.3712 (hard cost 0.3685 excluding regularizer), with FPR 3.41% and Review 1.42%, confirming the 5.1% reduction generalizes. Exact value obtained by running: GroupShuffleSplit 80/20 on the 5083 test URLs by registrable domain (seed 42), optimizing on 4066, evaluating on 1017.</w:t>
      </w:r>
      <w:r>
        <w:t xml:space="preserve"> The main results reported in Section VIII remain those on the full 5083 URLs, for comparison with the baseline.</w:t>
      </w:r>
    </w:p>
    <w:bookmarkEnd w:id="44"/>
    <w:bookmarkStart w:id="57" w:name="viii.-results-and-analysis"/>
    <w:p>
      <w:pPr>
        <w:pStyle w:val="Heading1"/>
      </w:pPr>
      <w:r>
        <w:t xml:space="preserve">VIII. RESULTS AND ANALYSIS</w:t>
      </w:r>
    </w:p>
    <w:bookmarkStart w:id="45" w:name="a.-classifier-performance"/>
    <w:p>
      <w:pPr>
        <w:pStyle w:val="Heading2"/>
      </w:pPr>
      <w:r>
        <w:t xml:space="preserve">A. Classifier Performance</w:t>
      </w:r>
    </w:p>
    <w:p>
      <w:pPr>
        <w:pStyle w:val="FirstParagraph"/>
      </w:pPr>
      <w:r>
        <w:t xml:space="preserve">Table IV reports the calibrated classifier at a probability threshold of 0.5, with the earlier random-forest baseline where available. The confusion matrix is </w:t>
      </w:r>
      <m:oMath>
        <m:d>
          <m:dPr>
            <m:begChr m:val="["/>
            <m:endChr m:val="]"/>
            <m:sepChr m:val=""/>
            <m:grow/>
          </m:dPr>
          <m:e>
            <m:d>
              <m:dPr>
                <m:begChr m:val="["/>
                <m:endChr m:val="]"/>
                <m:sepChr m:val=""/>
                <m:grow/>
              </m:dPr>
              <m:e>
                <m:r>
                  <m:t>1218</m:t>
                </m:r>
                <m:r>
                  <m:rPr>
                    <m:sty m:val="p"/>
                  </m:rPr>
                  <m:t>,</m:t>
                </m:r>
                <m:r>
                  <m:t>64</m:t>
                </m:r>
              </m:e>
            </m:d>
            <m:r>
              <m:rPr>
                <m:sty m:val="p"/>
              </m:rPr>
              <m:t>,</m:t>
            </m:r>
            <m:d>
              <m:dPr>
                <m:begChr m:val="["/>
                <m:endChr m:val="]"/>
                <m:sepChr m:val=""/>
                <m:grow/>
              </m:dPr>
              <m:e>
                <m:r>
                  <m:t>156</m:t>
                </m:r>
                <m:r>
                  <m:rPr>
                    <m:sty m:val="p"/>
                  </m:rPr>
                  <m:t>,</m:t>
                </m:r>
                <m:r>
                  <m:t>3645</m:t>
                </m:r>
              </m:e>
            </m:d>
          </m:e>
        </m:d>
      </m:oMath>
      <w:r>
        <w:t xml:space="preserve">. Prevalence-adjusted precision falls from 0.9505 at 50% prevalence to 0.5027 at 5%, 0.1625 at 1%, and 0.0189 at 0.1%, so results depend on the benign-to-phishing mix.</w:t>
      </w:r>
    </w:p>
    <w:p>
      <w:pPr>
        <w:pStyle w:val="TableCaption"/>
      </w:pPr>
      <w:r>
        <w:t xml:space="preserve">TABLE IV</w:t>
      </w:r>
    </w:p>
    <w:p>
      <w:pPr>
        <w:pStyle w:val="TableCaption"/>
      </w:pPr>
      <w:r>
        <w:t xml:space="preserve">CLASSIFIER METRICS ON THE HELD-OUT SET</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656"/>
        <w:gridCol w:w="1851"/>
        <w:gridCol w:w="1366"/>
      </w:tblGrid>
      <w:tr>
        <w:trPr>
          <w:tblHeader w:val="true"/>
        </w:trPr>
        <w:tc>
          <w:tcPr>
            <w:tcW w:w="1656" w:type="dxa"/>
            <w:tcBorders>
              <w:bottom w:val="single" w:sz="4" w:color="000000"/>
            </w:tcBorders>
          </w:tcPr>
          <w:p>
            <w:pPr>
              <w:pStyle w:val="Compact"/>
              <w:spacing w:after="0"/>
              <w:ind w:firstLine="0"/>
              <w:jc w:val="left"/>
            </w:pPr>
            <w:r>
              <w:rPr>
                <w:rFonts w:ascii="Times New Roman" w:hAnsi="Times New Roman"/>
                <w:b/>
                <w:sz w:val="16"/>
              </w:rPr>
              <w:t xml:space="preserve">Metric</w:t>
            </w:r>
          </w:p>
        </w:tc>
        <w:tc>
          <w:tcPr>
            <w:tcW w:w="1851" w:type="dxa"/>
            <w:tcBorders>
              <w:bottom w:val="single" w:sz="4" w:color="000000"/>
            </w:tcBorders>
          </w:tcPr>
          <w:p>
            <w:pPr>
              <w:pStyle w:val="Compact"/>
              <w:spacing w:after="0"/>
              <w:ind w:firstLine="0"/>
              <w:jc w:val="left"/>
            </w:pPr>
            <w:r>
              <w:rPr>
                <w:rFonts w:ascii="Times New Roman" w:hAnsi="Times New Roman"/>
                <w:b/>
                <w:sz w:val="16"/>
              </w:rPr>
              <w:t xml:space="preserve">XGBoost</w:t>
            </w:r>
          </w:p>
        </w:tc>
        <w:tc>
          <w:tcPr>
            <w:tcW w:w="1366" w:type="dxa"/>
            <w:tcBorders>
              <w:bottom w:val="single" w:sz="4" w:color="000000"/>
            </w:tcBorders>
          </w:tcPr>
          <w:p>
            <w:pPr>
              <w:pStyle w:val="Compact"/>
              <w:spacing w:after="0"/>
              <w:ind w:firstLine="0"/>
              <w:jc w:val="left"/>
            </w:pPr>
            <w:r>
              <w:rPr>
                <w:rFonts w:ascii="Times New Roman" w:hAnsi="Times New Roman"/>
                <w:b/>
                <w:sz w:val="16"/>
              </w:rPr>
              <w:t xml:space="preserve">Random forest</w:t>
            </w:r>
          </w:p>
        </w:tc>
      </w:tr>
      <w:tr>
        <w:tc>
          <w:tcPr>
            <w:tcW w:w="1656" w:type="dxa"/>
          </w:tcPr>
          <w:p>
            <w:pPr>
              <w:pStyle w:val="Compact"/>
              <w:spacing w:after="0"/>
              <w:ind w:firstLine="0"/>
              <w:jc w:val="left"/>
            </w:pPr>
            <w:r>
              <w:rPr>
                <w:rFonts w:ascii="Times New Roman" w:hAnsi="Times New Roman"/>
                <w:sz w:val="16"/>
              </w:rPr>
              <w:t xml:space="preserve">ROC-AUC</w:t>
            </w:r>
          </w:p>
        </w:tc>
        <w:tc>
          <w:tcPr>
            <w:tcW w:w="1851" w:type="dxa"/>
          </w:tcPr>
          <w:p>
            <w:pPr>
              <w:pStyle w:val="Compact"/>
              <w:spacing w:after="0"/>
              <w:ind w:firstLine="0"/>
              <w:jc w:val="left"/>
            </w:pPr>
            <w:r>
              <w:rPr>
                <w:rFonts w:ascii="Times New Roman" w:hAnsi="Times New Roman"/>
                <w:sz w:val="16"/>
              </w:rPr>
              <w:t xml:space="preserve">0.9929</w:t>
            </w:r>
          </w:p>
        </w:tc>
        <w:tc>
          <w:tcPr>
            <w:tcW w:w="1366" w:type="dxa"/>
          </w:tcPr>
          <w:p>
            <w:pPr>
              <w:pStyle w:val="Compact"/>
              <w:spacing w:after="0"/>
              <w:ind w:firstLine="0"/>
              <w:jc w:val="left"/>
            </w:pPr>
            <w:r>
              <w:rPr>
                <w:rFonts w:ascii="Times New Roman" w:hAnsi="Times New Roman"/>
                <w:sz w:val="16"/>
              </w:rPr>
              <w:t xml:space="preserve">0.9902</w:t>
            </w:r>
          </w:p>
        </w:tc>
      </w:tr>
      <w:tr>
        <w:tc>
          <w:tcPr>
            <w:tcW w:w="1656" w:type="dxa"/>
          </w:tcPr>
          <w:p>
            <w:pPr>
              <w:pStyle w:val="Compact"/>
              <w:spacing w:after="0"/>
              <w:ind w:firstLine="0"/>
              <w:jc w:val="left"/>
            </w:pPr>
            <w:r>
              <w:rPr>
                <w:rFonts w:ascii="Times New Roman" w:hAnsi="Times New Roman"/>
                <w:sz w:val="16"/>
              </w:rPr>
              <w:t xml:space="preserve">PR-AUC</w:t>
            </w:r>
          </w:p>
        </w:tc>
        <w:tc>
          <w:tcPr>
            <w:tcW w:w="1851" w:type="dxa"/>
          </w:tcPr>
          <w:p>
            <w:pPr>
              <w:pStyle w:val="Compact"/>
              <w:spacing w:after="0"/>
              <w:ind w:firstLine="0"/>
              <w:jc w:val="left"/>
            </w:pPr>
            <w:r>
              <w:rPr>
                <w:rFonts w:ascii="Times New Roman" w:hAnsi="Times New Roman"/>
                <w:sz w:val="16"/>
              </w:rPr>
              <w:t xml:space="preserve">0.9976</w:t>
            </w:r>
          </w:p>
        </w:tc>
        <w:tc>
          <w:tcPr>
            <w:tcW w:w="1366" w:type="dxa"/>
          </w:tcPr>
          <w:p>
            <w:pPr>
              <w:pStyle w:val="Compact"/>
              <w:spacing w:after="0"/>
              <w:ind w:firstLine="0"/>
              <w:jc w:val="left"/>
            </w:pPr>
            <w:r>
              <w:rPr>
                <w:rFonts w:ascii="Times New Roman" w:hAnsi="Times New Roman"/>
                <w:sz w:val="16"/>
              </w:rPr>
              <w:t xml:space="preserve">0.9953</w:t>
            </w:r>
          </w:p>
        </w:tc>
      </w:tr>
      <w:tr>
        <w:tc>
          <w:tcPr>
            <w:tcW w:w="1656" w:type="dxa"/>
          </w:tcPr>
          <w:p>
            <w:pPr>
              <w:pStyle w:val="Compact"/>
              <w:spacing w:after="0"/>
              <w:ind w:firstLine="0"/>
              <w:jc w:val="left"/>
            </w:pPr>
            <w:r>
              <w:rPr>
                <w:rFonts w:ascii="Times New Roman" w:hAnsi="Times New Roman"/>
                <w:sz w:val="16"/>
              </w:rPr>
              <w:t xml:space="preserve">Brier score</w:t>
            </w:r>
          </w:p>
        </w:tc>
        <w:tc>
          <w:tcPr>
            <w:tcW w:w="1851" w:type="dxa"/>
          </w:tcPr>
          <w:p>
            <w:pPr>
              <w:pStyle w:val="Compact"/>
              <w:spacing w:after="0"/>
              <w:ind w:firstLine="0"/>
              <w:jc w:val="left"/>
            </w:pPr>
            <w:r>
              <w:rPr>
                <w:rFonts w:ascii="Times New Roman" w:hAnsi="Times New Roman"/>
                <w:sz w:val="16"/>
              </w:rPr>
              <w:t xml:space="preserve">0.0297</w:t>
            </w:r>
          </w:p>
        </w:tc>
        <w:tc>
          <w:tcPr>
            <w:tcW w:w="1366" w:type="dxa"/>
          </w:tcPr>
          <w:p>
            <w:pPr>
              <w:pStyle w:val="Compact"/>
              <w:spacing w:after="0"/>
              <w:ind w:firstLine="0"/>
              <w:jc w:val="left"/>
            </w:pPr>
            <w:r>
              <w:rPr>
                <w:rFonts w:ascii="Times New Roman" w:hAnsi="Times New Roman"/>
                <w:sz w:val="16"/>
              </w:rPr>
              <w:t xml:space="preserve">0.0353</w:t>
            </w:r>
          </w:p>
        </w:tc>
      </w:tr>
      <w:tr>
        <w:tc>
          <w:tcPr>
            <w:tcW w:w="1656" w:type="dxa"/>
          </w:tcPr>
          <w:p>
            <w:pPr>
              <w:pStyle w:val="Compact"/>
              <w:spacing w:after="0"/>
              <w:ind w:firstLine="0"/>
              <w:jc w:val="left"/>
            </w:pPr>
            <w:r>
              <w:rPr>
                <w:rFonts w:ascii="Times New Roman" w:hAnsi="Times New Roman"/>
                <w:sz w:val="16"/>
              </w:rPr>
              <w:t xml:space="preserve">Precision</w:t>
            </w:r>
          </w:p>
        </w:tc>
        <w:tc>
          <w:tcPr>
            <w:tcW w:w="1851" w:type="dxa"/>
          </w:tcPr>
          <w:p>
            <w:pPr>
              <w:pStyle w:val="Compact"/>
              <w:spacing w:after="0"/>
              <w:ind w:firstLine="0"/>
              <w:jc w:val="left"/>
            </w:pPr>
            <w:r>
              <w:rPr>
                <w:rFonts w:ascii="Times New Roman" w:hAnsi="Times New Roman"/>
                <w:sz w:val="16"/>
              </w:rPr>
              <w:t xml:space="preserve">0.9827</w:t>
            </w:r>
          </w:p>
        </w:tc>
        <w:tc>
          <w:tcPr>
            <w:tcW w:w="1366" w:type="dxa"/>
          </w:tcPr>
          <w:p>
            <w:pPr>
              <w:pStyle w:val="Compact"/>
              <w:spacing w:after="0"/>
              <w:ind w:firstLine="0"/>
              <w:jc w:val="left"/>
            </w:pPr>
            <w:r>
              <w:rPr>
                <w:rFonts w:ascii="Times New Roman" w:hAnsi="Times New Roman"/>
                <w:sz w:val="16"/>
              </w:rPr>
              <w:t xml:space="preserve">—</w:t>
            </w:r>
          </w:p>
        </w:tc>
      </w:tr>
      <w:tr>
        <w:tc>
          <w:tcPr>
            <w:tcW w:w="1656" w:type="dxa"/>
          </w:tcPr>
          <w:p>
            <w:pPr>
              <w:pStyle w:val="Compact"/>
              <w:spacing w:after="0"/>
              <w:ind w:firstLine="0"/>
              <w:jc w:val="left"/>
            </w:pPr>
            <w:r>
              <w:rPr>
                <w:rFonts w:ascii="Times New Roman" w:hAnsi="Times New Roman"/>
                <w:sz w:val="16"/>
              </w:rPr>
              <w:t xml:space="preserve">F1 score</w:t>
            </w:r>
          </w:p>
        </w:tc>
        <w:tc>
          <w:tcPr>
            <w:tcW w:w="1851" w:type="dxa"/>
          </w:tcPr>
          <w:p>
            <w:pPr>
              <w:pStyle w:val="Compact"/>
              <w:spacing w:after="0"/>
              <w:ind w:firstLine="0"/>
              <w:jc w:val="left"/>
            </w:pPr>
            <w:r>
              <w:rPr>
                <w:rFonts w:ascii="Times New Roman" w:hAnsi="Times New Roman"/>
                <w:sz w:val="16"/>
              </w:rPr>
              <w:t xml:space="preserve">0.9707</w:t>
            </w:r>
          </w:p>
        </w:tc>
        <w:tc>
          <w:tcPr>
            <w:tcW w:w="1366" w:type="dxa"/>
          </w:tcPr>
          <w:p>
            <w:pPr>
              <w:pStyle w:val="Compact"/>
              <w:spacing w:after="0"/>
              <w:ind w:firstLine="0"/>
              <w:jc w:val="left"/>
            </w:pPr>
            <w:r>
              <w:rPr>
                <w:rFonts w:ascii="Times New Roman" w:hAnsi="Times New Roman"/>
                <w:sz w:val="16"/>
              </w:rPr>
              <w:t xml:space="preserve">—</w:t>
            </w:r>
          </w:p>
        </w:tc>
      </w:tr>
      <w:tr>
        <w:tc>
          <w:tcPr>
            <w:tcW w:w="1656" w:type="dxa"/>
          </w:tcPr>
          <w:p>
            <w:pPr>
              <w:pStyle w:val="Compact"/>
              <w:spacing w:after="0"/>
              <w:ind w:firstLine="0"/>
              <w:jc w:val="left"/>
            </w:pPr>
            <w:r>
              <w:rPr>
                <w:rFonts w:ascii="Times New Roman" w:hAnsi="Times New Roman"/>
                <w:sz w:val="16"/>
              </w:rPr>
              <w:t xml:space="preserve">TPR / FPR</w:t>
            </w:r>
          </w:p>
        </w:tc>
        <w:tc>
          <w:tcPr>
            <w:tcW w:w="1851" w:type="dxa"/>
          </w:tcPr>
          <w:p>
            <w:pPr>
              <w:pStyle w:val="Compact"/>
              <w:spacing w:after="0"/>
              <w:ind w:firstLine="0"/>
              <w:jc w:val="left"/>
            </w:pPr>
            <w:r>
              <w:rPr>
                <w:rFonts w:ascii="Times New Roman" w:hAnsi="Times New Roman"/>
                <w:sz w:val="16"/>
              </w:rPr>
              <w:t xml:space="preserve">0.959 / 0.0499</w:t>
            </w:r>
          </w:p>
        </w:tc>
        <w:tc>
          <w:tcPr>
            <w:tcW w:w="1366" w:type="dxa"/>
          </w:tcPr>
          <w:p>
            <w:pPr>
              <w:pStyle w:val="Compact"/>
              <w:spacing w:after="0"/>
              <w:ind w:firstLine="0"/>
              <w:jc w:val="left"/>
            </w:pPr>
            <w:r>
              <w:rPr>
                <w:rFonts w:ascii="Times New Roman" w:hAnsi="Times New Roman"/>
                <w:sz w:val="16"/>
              </w:rPr>
              <w:t xml:space="preserve">—</w:t>
            </w:r>
          </w:p>
        </w:tc>
      </w:tr>
    </w:tbl>
    <w:bookmarkEnd w:id="45"/>
    <w:bookmarkStart w:id="55" w:name="b.-threshold-optimization"/>
    <w:p>
      <w:pPr>
        <w:pStyle w:val="Heading2"/>
      </w:pPr>
      <w:r>
        <w:t xml:space="preserve">B. Threshold Optimization</w:t>
      </w:r>
    </w:p>
    <w:p>
      <w:pPr>
        <w:pStyle w:val="FirstParagraph"/>
      </w:pPr>
      <w:r>
        <w:t xml:space="preserve">The solver terminated after 29 iterations at </w:t>
      </w:r>
      <m:oMath>
        <m:d>
          <m:dPr>
            <m:begChr m:val="("/>
            <m:endChr m:val=")"/>
            <m:sepChr m:val=""/>
            <m:grow/>
          </m:dPr>
          <m:e>
            <m:sSub>
              <m:e>
                <m:r>
                  <m:t>θ</m:t>
                </m:r>
              </m:e>
              <m:sub>
                <m:r>
                  <m:t>r</m:t>
                </m:r>
              </m:sub>
            </m:sSub>
            <m:r>
              <m:rPr>
                <m:sty m:val="p"/>
              </m:rPr>
              <m:t>,</m:t>
            </m:r>
            <m:sSub>
              <m:e>
                <m:r>
                  <m:t>θ</m:t>
                </m:r>
              </m:e>
              <m:sub>
                <m:r>
                  <m:t>b</m:t>
                </m:r>
              </m:sub>
            </m:sSub>
          </m:e>
        </m:d>
        <m:r>
          <m:rPr>
            <m:sty m:val="p"/>
          </m:rPr>
          <m:t>=</m:t>
        </m:r>
        <m:d>
          <m:dPr>
            <m:begChr m:val="("/>
            <m:endChr m:val=")"/>
            <m:sepChr m:val=""/>
            <m:grow/>
          </m:dPr>
          <m:e>
            <m:r>
              <m:t>0.60</m:t>
            </m:r>
            <m:r>
              <m:rPr>
                <m:sty m:val="p"/>
              </m:rPr>
              <m:t>,</m:t>
            </m:r>
            <m:r>
              <m:t>0.75</m:t>
            </m:r>
          </m:e>
        </m:d>
      </m:oMath>
      <w:r>
        <w:t xml:space="preserve">. Fig. 2 shows the threshold trajectory, and Fig. 3 contrasts the smoothed surrogate with the hard operational cost. Table V compares operating points on the 1282 benign and 3801 phishing test URLs.</w:t>
      </w:r>
    </w:p>
    <w:p>
      <w:pPr>
        <w:pStyle w:val="BodyText"/>
        <w:keepNext/>
        <w:spacing w:before="120"/>
        <w:ind w:firstLine="0"/>
        <w:jc w:val="center"/>
      </w:pPr>
      <w:r>
        <w:drawing>
          <wp:inline>
            <wp:extent cx="3017520" cy="1952512"/>
            <wp:effectExtent b="0" l="0" r="0" t="0"/>
            <wp:docPr descr="Threshold trajectories theta_r and theta_b over 29 iterations with constant gap 0.15" title="" id="47" name="Picture"/>
            <a:graphic>
              <a:graphicData uri="http://schemas.openxmlformats.org/drawingml/2006/picture">
                <pic:pic>
                  <pic:nvPicPr>
                    <pic:cNvPr descr="fig2.png" id="48" name="Picture"/>
                    <pic:cNvPicPr>
                      <a:picLocks noChangeArrowheads="1" noChangeAspect="1"/>
                    </pic:cNvPicPr>
                  </pic:nvPicPr>
                  <pic:blipFill>
                    <a:blip r:embed="rId46"/>
                    <a:stretch>
                      <a:fillRect/>
                    </a:stretch>
                  </pic:blipFill>
                  <pic:spPr bwMode="auto">
                    <a:xfrm>
                      <a:off x="0" y="0"/>
                      <a:ext cx="3017520" cy="1952512"/>
                    </a:xfrm>
                    <a:prstGeom prst="rect">
                      <a:avLst/>
                    </a:prstGeom>
                    <a:noFill/>
                    <a:ln w="9525">
                      <a:noFill/>
                      <a:headEnd/>
                      <a:tailEnd/>
                    </a:ln>
                  </pic:spPr>
                </pic:pic>
              </a:graphicData>
            </a:graphic>
          </wp:inline>
        </w:drawing>
      </w:r>
    </w:p>
    <w:p>
      <w:pPr>
        <w:pStyle w:val="FigCaption"/>
      </w:pPr>
      <w:r>
        <w:t xml:space="preserve">Fig. 2. Threshold trajectory over 29 iterations: </w:t>
      </w:r>
      <m:oMath>
        <m:sSub>
          <m:e>
            <m:r>
              <m:t xml:space="preserve">θ</m:t>
            </m:r>
          </m:e>
          <m:sub>
            <m:r>
              <m:t xml:space="preserve">r</m:t>
            </m:r>
          </m:sub>
        </m:sSub>
      </m:oMath>
      <w:r>
        <w:t xml:space="preserve"> rises from 0.32 to 0.60 and </w:t>
      </w:r>
      <m:oMath>
        <m:sSub>
          <m:e>
            <m:r>
              <m:t xml:space="preserve">θ</m:t>
            </m:r>
          </m:e>
          <m:sub>
            <m:r>
              <m:t xml:space="preserve">b</m:t>
            </m:r>
          </m:sub>
        </m:sSub>
      </m:oMath>
      <w:r>
        <w:t xml:space="preserve"> from 0.47 to 0.75, keeping a constant gap of 0.15. </w:t>
      </w:r>
      <m:oMath>
        <m:sSub>
          <m:e>
            <m:r>
              <m:t xml:space="preserve">θ</m:t>
            </m:r>
          </m:e>
          <m:sub>
            <m:r>
              <m:t xml:space="preserve">r</m:t>
            </m:r>
          </m:sub>
        </m:sSub>
      </m:oMath>
      <w:r>
        <w:t xml:space="preserve"> reaches its bound at </w:t>
      </w:r>
      <m:oMath>
        <m:r>
          <m:t xml:space="preserve">k</m:t>
        </m:r>
        <m:r>
          <m:rPr>
            <m:sty m:val="p"/>
          </m:rPr>
          <m:t xml:space="preserve">=</m:t>
        </m:r>
        <m:r>
          <m:rPr>
            <m:sty m:val="p"/>
          </m:rPr>
          <m:t xml:space="preserve">28</m:t>
        </m:r>
      </m:oMath>
      <w:r>
        <w:t xml:space="preserve"> and the solver stops at </w:t>
      </w:r>
      <m:oMath>
        <m:r>
          <m:t xml:space="preserve">k</m:t>
        </m:r>
        <m:r>
          <m:rPr>
            <m:sty m:val="p"/>
          </m:rPr>
          <m:t xml:space="preserve">=</m:t>
        </m:r>
        <m:r>
          <m:rPr>
            <m:sty m:val="p"/>
          </m:rPr>
          <m:t xml:space="preserve">29</m:t>
        </m:r>
      </m:oMath>
      <w:r>
        <w:t xml:space="preserve">.</w:t>
      </w:r>
    </w:p>
    <w:p>
      <w:pPr>
        <w:pStyle w:val="BodyText"/>
        <w:keepNext/>
        <w:spacing w:before="120"/>
        <w:ind w:firstLine="0"/>
        <w:jc w:val="center"/>
      </w:pPr>
      <w:r>
        <w:drawing>
          <wp:inline>
            <wp:extent cx="3017520" cy="1952512"/>
            <wp:effectExtent b="0" l="0" r="0" t="0"/>
            <wp:docPr descr="Smoothed surrogate cost rising and hard operational cost falling" title="" id="50" name="Picture"/>
            <a:graphic>
              <a:graphicData uri="http://schemas.openxmlformats.org/drawingml/2006/picture">
                <pic:pic>
                  <pic:nvPicPr>
                    <pic:cNvPr descr="fig3.png" id="51" name="Picture"/>
                    <pic:cNvPicPr>
                      <a:picLocks noChangeArrowheads="1" noChangeAspect="1"/>
                    </pic:cNvPicPr>
                  </pic:nvPicPr>
                  <pic:blipFill>
                    <a:blip r:embed="rId49"/>
                    <a:stretch>
                      <a:fillRect/>
                    </a:stretch>
                  </pic:blipFill>
                  <pic:spPr bwMode="auto">
                    <a:xfrm>
                      <a:off x="0" y="0"/>
                      <a:ext cx="3017520" cy="1952512"/>
                    </a:xfrm>
                    <a:prstGeom prst="rect">
                      <a:avLst/>
                    </a:prstGeom>
                    <a:noFill/>
                    <a:ln w="9525">
                      <a:noFill/>
                      <a:headEnd/>
                      <a:tailEnd/>
                    </a:ln>
                  </pic:spPr>
                </pic:pic>
              </a:graphicData>
            </a:graphic>
          </wp:inline>
        </w:drawing>
      </w:r>
    </w:p>
    <w:p>
      <w:pPr>
        <w:pStyle w:val="FigCaption"/>
      </w:pPr>
      <w:r>
        <w:t xml:space="preserve">Fig. 3. Smoothed surrogate </w:t>
      </w:r>
      <m:oMath>
        <m:acc>
          <m:accPr>
            <m:chr m:val="̃"/>
          </m:accPr>
          <m:e>
            <m:r>
              <m:t xml:space="preserve">J</m:t>
            </m:r>
          </m:e>
        </m:acc>
      </m:oMath>
      <w:r>
        <w:t xml:space="preserve"> (solid) rises from 0.289 to 0.419 while the hard operational cost </w:t>
      </w:r>
      <m:oMath>
        <m:r>
          <m:t xml:space="preserve">J</m:t>
        </m:r>
      </m:oMath>
      <w:r>
        <w:t xml:space="preserve"> (dashed; baseline and final values only) falls from 0.3873 to 0.3676. The rise is not caused by the regularizer, which contributes at most 0.003; it follows from the gap projection (Section IX).</w:t>
      </w:r>
    </w:p>
    <w:p>
      <w:pPr>
        <w:pStyle w:val="TableCaption"/>
      </w:pPr>
      <w:r>
        <w:t xml:space="preserve">TABLE V</w:t>
      </w:r>
    </w:p>
    <w:p>
      <w:pPr>
        <w:pStyle w:val="TableCaption"/>
      </w:pPr>
      <w:r>
        <w:t xml:space="preserve">OPERATIONAL RESULTS AT BASELINE AND OPTIMIZED THRESHOLDS</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364"/>
        <w:gridCol w:w="1169"/>
        <w:gridCol w:w="1169"/>
        <w:gridCol w:w="1171"/>
      </w:tblGrid>
      <w:tr>
        <w:trPr>
          <w:tblHeader w:val="true"/>
        </w:trPr>
        <w:tc>
          <w:tcPr>
            <w:tcW w:w="1364" w:type="dxa"/>
            <w:tcBorders>
              <w:bottom w:val="single" w:sz="4" w:color="000000"/>
            </w:tcBorders>
          </w:tcPr>
          <w:p>
            <w:pPr>
              <w:pStyle w:val="Compact"/>
              <w:spacing w:after="0"/>
              <w:ind w:firstLine="0"/>
              <w:jc w:val="left"/>
            </w:pPr>
            <w:r>
              <w:rPr>
                <w:rFonts w:ascii="Times New Roman" w:hAnsi="Times New Roman"/>
                <w:b/>
                <w:sz w:val="16"/>
              </w:rPr>
              <w:t xml:space="preserve">Metric</w:t>
            </w:r>
          </w:p>
        </w:tc>
        <w:tc>
          <w:tcPr>
            <w:tcW w:w="1169" w:type="dxa"/>
            <w:tcBorders>
              <w:bottom w:val="single" w:sz="4" w:color="000000"/>
            </w:tcBorders>
          </w:tcPr>
          <w:p>
            <w:pPr>
              <w:pStyle w:val="Compact"/>
              <w:spacing w:after="0"/>
              <w:ind w:firstLine="0"/>
              <w:jc w:val="left"/>
            </w:pPr>
            <w:r>
              <w:rPr>
                <w:rFonts w:ascii="Times New Roman" w:hAnsi="Times New Roman"/>
                <w:b/>
                <w:sz w:val="16"/>
              </w:rPr>
              <w:t xml:space="preserve">Baseline</w:t>
            </w:r>
          </w:p>
        </w:tc>
        <w:tc>
          <w:tcPr>
            <w:tcW w:w="1169" w:type="dxa"/>
            <w:tcBorders>
              <w:bottom w:val="single" w:sz="4" w:color="000000"/>
            </w:tcBorders>
          </w:tcPr>
          <w:p>
            <w:pPr>
              <w:pStyle w:val="Compact"/>
              <w:spacing w:after="0"/>
              <w:ind w:firstLine="0"/>
              <w:jc w:val="left"/>
            </w:pPr>
            <w:r>
              <w:rPr>
                <w:rFonts w:ascii="Times New Roman" w:hAnsi="Times New Roman"/>
                <w:b/>
                <w:sz w:val="16"/>
              </w:rPr>
              <w:t xml:space="preserve">Optimized</w:t>
            </w:r>
          </w:p>
        </w:tc>
        <w:tc>
          <w:tcPr>
            <w:tcW w:w="1171" w:type="dxa"/>
            <w:tcBorders>
              <w:bottom w:val="single" w:sz="4" w:color="000000"/>
            </w:tcBorders>
          </w:tcPr>
          <w:p>
            <w:pPr>
              <w:pStyle w:val="Compact"/>
              <w:spacing w:after="0"/>
              <w:ind w:firstLine="0"/>
              <w:jc w:val="left"/>
            </w:pPr>
            <w:r>
              <w:rPr>
                <w:rFonts w:ascii="Times New Roman" w:hAnsi="Times New Roman"/>
                <w:b/>
                <w:sz w:val="16"/>
              </w:rPr>
              <w:t xml:space="preserve">Change</w:t>
            </w:r>
          </w:p>
        </w:tc>
      </w:tr>
      <w:tr>
        <w:tc>
          <w:tcPr>
            <w:tcW w:w="1364" w:type="dxa"/>
          </w:tcPr>
          <w:p>
            <w:pPr>
              <w:pStyle w:val="Compact"/>
              <w:spacing w:after="0"/>
              <w:ind w:firstLine="0"/>
              <w:jc w:val="left"/>
            </w:pPr>
            <w:r>
              <w:rPr>
                <w:rFonts w:ascii="Times New Roman" w:hAnsi="Times New Roman"/>
                <w:sz w:val="16"/>
              </w:rPr>
              <w:t xml:space="preserve">Cost </w:t>
            </w:r>
            <m:oMath>
              <m:r>
                <m:t>J</m:t>
              </m:r>
            </m:oMath>
          </w:p>
        </w:tc>
        <w:tc>
          <w:tcPr>
            <w:tcW w:w="1169" w:type="dxa"/>
          </w:tcPr>
          <w:p>
            <w:pPr>
              <w:pStyle w:val="Compact"/>
              <w:spacing w:after="0"/>
              <w:ind w:firstLine="0"/>
              <w:jc w:val="left"/>
            </w:pPr>
            <w:r>
              <w:rPr>
                <w:rFonts w:ascii="Times New Roman" w:hAnsi="Times New Roman"/>
                <w:sz w:val="16"/>
              </w:rPr>
              <w:t xml:space="preserve">0.3873</w:t>
            </w:r>
          </w:p>
        </w:tc>
        <w:tc>
          <w:tcPr>
            <w:tcW w:w="1169" w:type="dxa"/>
          </w:tcPr>
          <w:p>
            <w:pPr>
              <w:pStyle w:val="Compact"/>
              <w:spacing w:after="0"/>
              <w:ind w:firstLine="0"/>
              <w:jc w:val="left"/>
            </w:pPr>
            <w:r>
              <w:rPr>
                <w:rFonts w:ascii="Times New Roman" w:hAnsi="Times New Roman"/>
                <w:sz w:val="16"/>
              </w:rPr>
              <w:t xml:space="preserve">0.3676</w:t>
            </w:r>
          </w:p>
        </w:tc>
        <w:tc>
          <w:tcPr>
            <w:tcW w:w="1171" w:type="dxa"/>
          </w:tcPr>
          <w:p>
            <w:pPr>
              <w:pStyle w:val="Compact"/>
              <w:spacing w:after="0"/>
              <w:ind w:firstLine="0"/>
              <w:jc w:val="left"/>
            </w:pPr>
            <w:r>
              <w:rPr>
                <w:rFonts w:ascii="Times New Roman" w:hAnsi="Times New Roman"/>
                <w:sz w:val="16"/>
              </w:rPr>
              <w:t xml:space="preserve">−5.1%</w:t>
            </w:r>
          </w:p>
        </w:tc>
      </w:tr>
      <w:tr>
        <w:tc>
          <w:tcPr>
            <w:tcW w:w="1364" w:type="dxa"/>
          </w:tcPr>
          <w:p>
            <w:pPr>
              <w:pStyle w:val="Compact"/>
              <w:spacing w:after="0"/>
              <w:ind w:firstLine="0"/>
              <w:jc w:val="left"/>
            </w:pPr>
            <w:r>
              <w:rPr>
                <w:rFonts w:ascii="Times New Roman" w:hAnsi="Times New Roman"/>
                <w:sz w:val="16"/>
              </w:rPr>
              <w:t xml:space="preserve">FPR</w:t>
            </w:r>
          </w:p>
        </w:tc>
        <w:tc>
          <w:tcPr>
            <w:tcW w:w="1169" w:type="dxa"/>
          </w:tcPr>
          <w:p>
            <w:pPr>
              <w:pStyle w:val="Compact"/>
              <w:spacing w:after="0"/>
              <w:ind w:firstLine="0"/>
              <w:jc w:val="left"/>
            </w:pPr>
            <w:r>
              <w:rPr>
                <w:rFonts w:ascii="Times New Roman" w:hAnsi="Times New Roman"/>
                <w:sz w:val="16"/>
              </w:rPr>
              <w:t xml:space="preserve">7.18%</w:t>
            </w:r>
          </w:p>
        </w:tc>
        <w:tc>
          <w:tcPr>
            <w:tcW w:w="1169" w:type="dxa"/>
          </w:tcPr>
          <w:p>
            <w:pPr>
              <w:pStyle w:val="Compact"/>
              <w:spacing w:after="0"/>
              <w:ind w:firstLine="0"/>
              <w:jc w:val="left"/>
            </w:pPr>
            <w:r>
              <w:rPr>
                <w:rFonts w:ascii="Times New Roman" w:hAnsi="Times New Roman"/>
                <w:sz w:val="16"/>
              </w:rPr>
              <w:t xml:space="preserve">3.28%</w:t>
            </w:r>
          </w:p>
        </w:tc>
        <w:tc>
          <w:tcPr>
            <w:tcW w:w="1171" w:type="dxa"/>
          </w:tcPr>
          <w:p>
            <w:pPr>
              <w:pStyle w:val="Compact"/>
              <w:spacing w:after="0"/>
              <w:ind w:firstLine="0"/>
              <w:jc w:val="left"/>
            </w:pPr>
            <w:r>
              <w:rPr>
                <w:rFonts w:ascii="Times New Roman" w:hAnsi="Times New Roman"/>
                <w:sz w:val="16"/>
              </w:rPr>
              <w:t xml:space="preserve">−54%</w:t>
            </w:r>
          </w:p>
        </w:tc>
      </w:tr>
      <w:tr>
        <w:tc>
          <w:tcPr>
            <w:tcW w:w="1364" w:type="dxa"/>
          </w:tcPr>
          <w:p>
            <w:pPr>
              <w:pStyle w:val="Compact"/>
              <w:spacing w:after="0"/>
              <w:ind w:firstLine="0"/>
              <w:jc w:val="left"/>
            </w:pPr>
            <w:r>
              <w:rPr>
                <w:rFonts w:ascii="Times New Roman" w:hAnsi="Times New Roman"/>
                <w:sz w:val="16"/>
              </w:rPr>
              <w:t xml:space="preserve">FNR</w:t>
            </w:r>
          </w:p>
        </w:tc>
        <w:tc>
          <w:tcPr>
            <w:tcW w:w="1169" w:type="dxa"/>
          </w:tcPr>
          <w:p>
            <w:pPr>
              <w:pStyle w:val="Compact"/>
              <w:spacing w:after="0"/>
              <w:ind w:firstLine="0"/>
              <w:jc w:val="left"/>
            </w:pPr>
            <w:r>
              <w:rPr>
                <w:rFonts w:ascii="Times New Roman" w:hAnsi="Times New Roman"/>
                <w:sz w:val="16"/>
              </w:rPr>
              <w:t xml:space="preserve">5.81%</w:t>
            </w:r>
          </w:p>
        </w:tc>
        <w:tc>
          <w:tcPr>
            <w:tcW w:w="1169" w:type="dxa"/>
          </w:tcPr>
          <w:p>
            <w:pPr>
              <w:pStyle w:val="Compact"/>
              <w:spacing w:after="0"/>
              <w:ind w:firstLine="0"/>
              <w:jc w:val="left"/>
            </w:pPr>
            <w:r>
              <w:rPr>
                <w:rFonts w:ascii="Times New Roman" w:hAnsi="Times New Roman"/>
                <w:sz w:val="16"/>
              </w:rPr>
              <w:t xml:space="preserve">6.37%</w:t>
            </w:r>
          </w:p>
        </w:tc>
        <w:tc>
          <w:tcPr>
            <w:tcW w:w="1171" w:type="dxa"/>
          </w:tcPr>
          <w:p>
            <w:pPr>
              <w:pStyle w:val="Compact"/>
              <w:spacing w:after="0"/>
              <w:ind w:firstLine="0"/>
              <w:jc w:val="left"/>
            </w:pPr>
            <w:r>
              <w:rPr>
                <w:rFonts w:ascii="Times New Roman" w:hAnsi="Times New Roman"/>
                <w:sz w:val="16"/>
              </w:rPr>
              <w:t xml:space="preserve">+0.56 pp</w:t>
            </w:r>
          </w:p>
        </w:tc>
      </w:tr>
      <w:tr>
        <w:tc>
          <w:tcPr>
            <w:tcW w:w="1364" w:type="dxa"/>
          </w:tcPr>
          <w:p>
            <w:pPr>
              <w:pStyle w:val="Compact"/>
              <w:spacing w:after="0"/>
              <w:ind w:firstLine="0"/>
              <w:jc w:val="left"/>
            </w:pPr>
            <w:r>
              <w:rPr>
                <w:rFonts w:ascii="Times New Roman" w:hAnsi="Times New Roman"/>
                <w:sz w:val="16"/>
              </w:rPr>
              <w:t xml:space="preserve">Review rate</w:t>
            </w:r>
          </w:p>
        </w:tc>
        <w:tc>
          <w:tcPr>
            <w:tcW w:w="1169" w:type="dxa"/>
          </w:tcPr>
          <w:p>
            <w:pPr>
              <w:pStyle w:val="Compact"/>
              <w:spacing w:after="0"/>
              <w:ind w:firstLine="0"/>
              <w:jc w:val="left"/>
            </w:pPr>
            <w:r>
              <w:rPr>
                <w:rFonts w:ascii="Times New Roman" w:hAnsi="Times New Roman"/>
                <w:sz w:val="16"/>
              </w:rPr>
              <w:t xml:space="preserve">3.66%</w:t>
            </w:r>
          </w:p>
        </w:tc>
        <w:tc>
          <w:tcPr>
            <w:tcW w:w="1169" w:type="dxa"/>
          </w:tcPr>
          <w:p>
            <w:pPr>
              <w:pStyle w:val="Compact"/>
              <w:spacing w:after="0"/>
              <w:ind w:firstLine="0"/>
              <w:jc w:val="left"/>
            </w:pPr>
            <w:r>
              <w:rPr>
                <w:rFonts w:ascii="Times New Roman" w:hAnsi="Times New Roman"/>
                <w:sz w:val="16"/>
              </w:rPr>
              <w:t xml:space="preserve">1.36%</w:t>
            </w:r>
          </w:p>
        </w:tc>
        <w:tc>
          <w:tcPr>
            <w:tcW w:w="1171" w:type="dxa"/>
          </w:tcPr>
          <w:p>
            <w:pPr>
              <w:pStyle w:val="Compact"/>
              <w:spacing w:after="0"/>
              <w:ind w:firstLine="0"/>
              <w:jc w:val="left"/>
            </w:pPr>
            <w:r>
              <w:rPr>
                <w:rFonts w:ascii="Times New Roman" w:hAnsi="Times New Roman"/>
                <w:sz w:val="16"/>
              </w:rPr>
              <w:t xml:space="preserve">−63%</w:t>
            </w:r>
          </w:p>
        </w:tc>
      </w:tr>
    </w:tbl>
    <w:p>
      <w:pPr>
        <w:pStyle w:val="TableCaption"/>
      </w:pPr>
      <w:r>
        <w:t xml:space="preserve">TABLE VI</w:t>
      </w:r>
    </w:p>
    <w:p>
      <w:pPr>
        <w:pStyle w:val="TableCaption"/>
      </w:pPr>
      <w:r>
        <w:t xml:space="preserve">OUTCOME COUNTS ON THE TEST SET</w:t>
      </w:r>
    </w:p>
    <w:tbl>
      <w:tblPr>
        <w:tblStyle w:val="Table"/>
        <w:tblW w:w="4873" w:type="dxa"/>
        <w:jc w:val="start"/>
        <w:tblBorders>
          <w:top w:val="single" w:sz="6" w:color="000000"/>
          <w:left w:val="nil"/>
          <w:bottom w:val="single" w:sz="6" w:color="000000"/>
          <w:right w:val="nil"/>
          <w:insideH w:val="nil"/>
          <w:insideV w:val="nil"/>
        </w:tblBorders>
        <w:tblLayout w:type="fixed"/>
        <w:tblLook w:firstRow="1" w:lastRow="0" w:firstColumn="0" w:lastColumn="0" w:noHBand="0" w:noVBand="0" w:val="0020"/>
      </w:tblPr>
      <w:tblGrid>
        <w:gridCol w:w="1656"/>
        <w:gridCol w:w="1851"/>
        <w:gridCol w:w="1366"/>
      </w:tblGrid>
      <w:tr>
        <w:trPr>
          <w:tblHeader w:val="true"/>
        </w:trPr>
        <w:tc>
          <w:tcPr>
            <w:tcW w:w="1656" w:type="dxa"/>
            <w:tcBorders>
              <w:bottom w:val="single" w:sz="4" w:color="000000"/>
            </w:tcBorders>
          </w:tcPr>
          <w:p>
            <w:pPr>
              <w:pStyle w:val="Compact"/>
              <w:spacing w:after="0"/>
              <w:ind w:firstLine="0"/>
              <w:jc w:val="left"/>
            </w:pPr>
            <w:r>
              <w:rPr>
                <w:rFonts w:ascii="Times New Roman" w:hAnsi="Times New Roman"/>
                <w:b/>
                <w:sz w:val="16"/>
              </w:rPr>
              <w:t xml:space="preserve">Outcome</w:t>
            </w:r>
          </w:p>
        </w:tc>
        <w:tc>
          <w:tcPr>
            <w:tcW w:w="1851" w:type="dxa"/>
            <w:tcBorders>
              <w:bottom w:val="single" w:sz="4" w:color="000000"/>
            </w:tcBorders>
          </w:tcPr>
          <w:p>
            <w:pPr>
              <w:pStyle w:val="Compact"/>
              <w:spacing w:after="0"/>
              <w:ind w:firstLine="0"/>
              <w:jc w:val="left"/>
            </w:pPr>
            <w:r>
              <w:rPr>
                <w:rFonts w:ascii="Times New Roman" w:hAnsi="Times New Roman"/>
                <w:b/>
                <w:sz w:val="16"/>
              </w:rPr>
              <w:t xml:space="preserve">Baseline</w:t>
            </w:r>
          </w:p>
        </w:tc>
        <w:tc>
          <w:tcPr>
            <w:tcW w:w="1366" w:type="dxa"/>
            <w:tcBorders>
              <w:bottom w:val="single" w:sz="4" w:color="000000"/>
            </w:tcBorders>
          </w:tcPr>
          <w:p>
            <w:pPr>
              <w:pStyle w:val="Compact"/>
              <w:spacing w:after="0"/>
              <w:ind w:firstLine="0"/>
              <w:jc w:val="left"/>
            </w:pPr>
            <w:r>
              <w:rPr>
                <w:rFonts w:ascii="Times New Roman" w:hAnsi="Times New Roman"/>
                <w:b/>
                <w:sz w:val="16"/>
              </w:rPr>
              <w:t xml:space="preserve">Optimized</w:t>
            </w:r>
          </w:p>
        </w:tc>
      </w:tr>
      <w:tr>
        <w:tc>
          <w:tcPr>
            <w:tcW w:w="1656" w:type="dxa"/>
          </w:tcPr>
          <w:p>
            <w:pPr>
              <w:pStyle w:val="Compact"/>
              <w:spacing w:after="0"/>
              <w:ind w:firstLine="0"/>
              <w:jc w:val="left"/>
            </w:pPr>
            <w:r>
              <w:rPr>
                <w:rFonts w:ascii="Times New Roman" w:hAnsi="Times New Roman"/>
                <w:sz w:val="16"/>
              </w:rPr>
              <w:t xml:space="preserve">Benign reviewed</w:t>
            </w:r>
          </w:p>
        </w:tc>
        <w:tc>
          <w:tcPr>
            <w:tcW w:w="1851" w:type="dxa"/>
          </w:tcPr>
          <w:p>
            <w:pPr>
              <w:pStyle w:val="Compact"/>
              <w:spacing w:after="0"/>
              <w:ind w:firstLine="0"/>
              <w:jc w:val="left"/>
            </w:pPr>
            <w:r>
              <w:rPr>
                <w:rFonts w:ascii="Times New Roman" w:hAnsi="Times New Roman"/>
                <w:sz w:val="16"/>
              </w:rPr>
              <w:t xml:space="preserve">65</w:t>
            </w:r>
          </w:p>
        </w:tc>
        <w:tc>
          <w:tcPr>
            <w:tcW w:w="1366" w:type="dxa"/>
          </w:tcPr>
          <w:p>
            <w:pPr>
              <w:pStyle w:val="Compact"/>
              <w:spacing w:after="0"/>
              <w:ind w:firstLine="0"/>
              <w:jc w:val="left"/>
            </w:pPr>
            <w:r>
              <w:rPr>
                <w:rFonts w:ascii="Times New Roman" w:hAnsi="Times New Roman"/>
                <w:sz w:val="16"/>
              </w:rPr>
              <w:t xml:space="preserve">20</w:t>
            </w:r>
          </w:p>
        </w:tc>
      </w:tr>
      <w:tr>
        <w:tc>
          <w:tcPr>
            <w:tcW w:w="1656" w:type="dxa"/>
          </w:tcPr>
          <w:p>
            <w:pPr>
              <w:pStyle w:val="Compact"/>
              <w:spacing w:after="0"/>
              <w:ind w:firstLine="0"/>
              <w:jc w:val="left"/>
            </w:pPr>
            <w:r>
              <w:rPr>
                <w:rFonts w:ascii="Times New Roman" w:hAnsi="Times New Roman"/>
                <w:sz w:val="16"/>
              </w:rPr>
              <w:t xml:space="preserve">Benign blocked</w:t>
            </w:r>
          </w:p>
        </w:tc>
        <w:tc>
          <w:tcPr>
            <w:tcW w:w="1851" w:type="dxa"/>
          </w:tcPr>
          <w:p>
            <w:pPr>
              <w:pStyle w:val="Compact"/>
              <w:spacing w:after="0"/>
              <w:ind w:firstLine="0"/>
              <w:jc w:val="left"/>
            </w:pPr>
            <w:r>
              <w:rPr>
                <w:rFonts w:ascii="Times New Roman" w:hAnsi="Times New Roman"/>
                <w:sz w:val="16"/>
              </w:rPr>
              <w:t xml:space="preserve">27</w:t>
            </w:r>
          </w:p>
        </w:tc>
        <w:tc>
          <w:tcPr>
            <w:tcW w:w="1366" w:type="dxa"/>
          </w:tcPr>
          <w:p>
            <w:pPr>
              <w:pStyle w:val="Compact"/>
              <w:spacing w:after="0"/>
              <w:ind w:firstLine="0"/>
              <w:jc w:val="left"/>
            </w:pPr>
            <w:r>
              <w:rPr>
                <w:rFonts w:ascii="Times New Roman" w:hAnsi="Times New Roman"/>
                <w:sz w:val="16"/>
              </w:rPr>
              <w:t xml:space="preserve">22</w:t>
            </w:r>
          </w:p>
        </w:tc>
      </w:tr>
      <w:tr>
        <w:tc>
          <w:tcPr>
            <w:tcW w:w="1656" w:type="dxa"/>
          </w:tcPr>
          <w:p>
            <w:pPr>
              <w:pStyle w:val="Compact"/>
              <w:spacing w:after="0"/>
              <w:ind w:firstLine="0"/>
              <w:jc w:val="left"/>
            </w:pPr>
            <w:r>
              <w:rPr>
                <w:rFonts w:ascii="Times New Roman" w:hAnsi="Times New Roman"/>
                <w:sz w:val="16"/>
              </w:rPr>
              <w:t xml:space="preserve">Benign allowed</w:t>
            </w:r>
          </w:p>
        </w:tc>
        <w:tc>
          <w:tcPr>
            <w:tcW w:w="1851" w:type="dxa"/>
          </w:tcPr>
          <w:p>
            <w:pPr>
              <w:pStyle w:val="Compact"/>
              <w:spacing w:after="0"/>
              <w:ind w:firstLine="0"/>
              <w:jc w:val="left"/>
            </w:pPr>
            <w:r>
              <w:rPr>
                <w:rFonts w:ascii="Times New Roman" w:hAnsi="Times New Roman"/>
                <w:sz w:val="16"/>
              </w:rPr>
              <w:t xml:space="preserve">1190</w:t>
            </w:r>
          </w:p>
        </w:tc>
        <w:tc>
          <w:tcPr>
            <w:tcW w:w="1366" w:type="dxa"/>
          </w:tcPr>
          <w:p>
            <w:pPr>
              <w:pStyle w:val="Compact"/>
              <w:spacing w:after="0"/>
              <w:ind w:firstLine="0"/>
              <w:jc w:val="left"/>
            </w:pPr>
            <w:r>
              <w:rPr>
                <w:rFonts w:ascii="Times New Roman" w:hAnsi="Times New Roman"/>
                <w:sz w:val="16"/>
              </w:rPr>
              <w:t xml:space="preserve">1240</w:t>
            </w:r>
          </w:p>
        </w:tc>
      </w:tr>
      <w:tr>
        <w:tc>
          <w:tcPr>
            <w:tcW w:w="1656" w:type="dxa"/>
          </w:tcPr>
          <w:p>
            <w:pPr>
              <w:pStyle w:val="Compact"/>
              <w:spacing w:after="0"/>
              <w:ind w:firstLine="0"/>
              <w:jc w:val="left"/>
            </w:pPr>
            <w:r>
              <w:rPr>
                <w:rFonts w:ascii="Times New Roman" w:hAnsi="Times New Roman"/>
                <w:sz w:val="16"/>
              </w:rPr>
              <w:t xml:space="preserve">Phishing allowed</w:t>
            </w:r>
          </w:p>
        </w:tc>
        <w:tc>
          <w:tcPr>
            <w:tcW w:w="1851" w:type="dxa"/>
          </w:tcPr>
          <w:p>
            <w:pPr>
              <w:pStyle w:val="Compact"/>
              <w:spacing w:after="0"/>
              <w:ind w:firstLine="0"/>
              <w:jc w:val="left"/>
            </w:pPr>
            <w:r>
              <w:rPr>
                <w:rFonts w:ascii="Times New Roman" w:hAnsi="Times New Roman"/>
                <w:sz w:val="16"/>
              </w:rPr>
              <w:t xml:space="preserve">100</w:t>
            </w:r>
          </w:p>
        </w:tc>
        <w:tc>
          <w:tcPr>
            <w:tcW w:w="1366" w:type="dxa"/>
          </w:tcPr>
          <w:p>
            <w:pPr>
              <w:pStyle w:val="Compact"/>
              <w:spacing w:after="0"/>
              <w:ind w:firstLine="0"/>
              <w:jc w:val="left"/>
            </w:pPr>
            <w:r>
              <w:rPr>
                <w:rFonts w:ascii="Times New Roman" w:hAnsi="Times New Roman"/>
                <w:sz w:val="16"/>
              </w:rPr>
              <w:t xml:space="preserve">193</w:t>
            </w:r>
          </w:p>
        </w:tc>
      </w:tr>
      <w:tr>
        <w:tc>
          <w:tcPr>
            <w:tcW w:w="1656" w:type="dxa"/>
          </w:tcPr>
          <w:p>
            <w:pPr>
              <w:pStyle w:val="Compact"/>
              <w:spacing w:after="0"/>
              <w:ind w:firstLine="0"/>
              <w:jc w:val="left"/>
            </w:pPr>
            <w:r>
              <w:rPr>
                <w:rFonts w:ascii="Times New Roman" w:hAnsi="Times New Roman"/>
                <w:sz w:val="16"/>
              </w:rPr>
              <w:t xml:space="preserve">Phishing reviewed</w:t>
            </w:r>
          </w:p>
        </w:tc>
        <w:tc>
          <w:tcPr>
            <w:tcW w:w="1851" w:type="dxa"/>
          </w:tcPr>
          <w:p>
            <w:pPr>
              <w:pStyle w:val="Compact"/>
              <w:spacing w:after="0"/>
              <w:ind w:firstLine="0"/>
              <w:jc w:val="left"/>
            </w:pPr>
            <w:r>
              <w:rPr>
                <w:rFonts w:ascii="Times New Roman" w:hAnsi="Times New Roman"/>
                <w:sz w:val="16"/>
              </w:rPr>
              <w:t xml:space="preserve">121</w:t>
            </w:r>
          </w:p>
        </w:tc>
        <w:tc>
          <w:tcPr>
            <w:tcW w:w="1366" w:type="dxa"/>
          </w:tcPr>
          <w:p>
            <w:pPr>
              <w:pStyle w:val="Compact"/>
              <w:spacing w:after="0"/>
              <w:ind w:firstLine="0"/>
              <w:jc w:val="left"/>
            </w:pPr>
            <w:r>
              <w:rPr>
                <w:rFonts w:ascii="Times New Roman" w:hAnsi="Times New Roman"/>
                <w:sz w:val="16"/>
              </w:rPr>
              <w:t xml:space="preserve">49</w:t>
            </w:r>
          </w:p>
        </w:tc>
      </w:tr>
      <w:tr>
        <w:tc>
          <w:tcPr>
            <w:tcW w:w="1656" w:type="dxa"/>
          </w:tcPr>
          <w:p>
            <w:pPr>
              <w:pStyle w:val="Compact"/>
              <w:spacing w:after="0"/>
              <w:ind w:firstLine="0"/>
              <w:jc w:val="left"/>
            </w:pPr>
            <w:r>
              <w:rPr>
                <w:rFonts w:ascii="Times New Roman" w:hAnsi="Times New Roman"/>
                <w:sz w:val="16"/>
              </w:rPr>
              <w:t xml:space="preserve">Phishing blocked</w:t>
            </w:r>
          </w:p>
        </w:tc>
        <w:tc>
          <w:tcPr>
            <w:tcW w:w="1851" w:type="dxa"/>
          </w:tcPr>
          <w:p>
            <w:pPr>
              <w:pStyle w:val="Compact"/>
              <w:spacing w:after="0"/>
              <w:ind w:firstLine="0"/>
              <w:jc w:val="left"/>
            </w:pPr>
            <w:r>
              <w:rPr>
                <w:rFonts w:ascii="Times New Roman" w:hAnsi="Times New Roman"/>
                <w:sz w:val="16"/>
              </w:rPr>
              <w:t xml:space="preserve">3580</w:t>
            </w:r>
          </w:p>
        </w:tc>
        <w:tc>
          <w:tcPr>
            <w:tcW w:w="1366" w:type="dxa"/>
          </w:tcPr>
          <w:p>
            <w:pPr>
              <w:pStyle w:val="Compact"/>
              <w:spacing w:after="0"/>
              <w:ind w:firstLine="0"/>
              <w:jc w:val="left"/>
            </w:pPr>
            <w:r>
              <w:rPr>
                <w:rFonts w:ascii="Times New Roman" w:hAnsi="Times New Roman"/>
                <w:sz w:val="16"/>
              </w:rPr>
              <w:t xml:space="preserve">3559</w:t>
            </w:r>
          </w:p>
        </w:tc>
      </w:tr>
      <w:tr>
        <w:tc>
          <w:tcPr>
            <w:tcW w:w="1656" w:type="dxa"/>
            <w:tcBorders>
              <w:top w:val="single" w:sz="4" w:color="000000"/>
            </w:tcBorders>
          </w:tcPr>
          <w:p>
            <w:pPr>
              <w:pStyle w:val="Compact"/>
              <w:spacing w:after="0"/>
              <w:ind w:firstLine="0"/>
              <w:jc w:val="left"/>
            </w:pPr>
            <w:r>
              <w:rPr>
                <w:rFonts w:ascii="Times New Roman" w:hAnsi="Times New Roman" w:cs="Times New Roman" w:eastAsia="Times New Roman"/>
                <w:b/>
                <w:bCs/>
                <w:sz w:val="16"/>
                <w:szCs w:val="16"/>
              </w:rPr>
              <w:t xml:space="preserve">Benign total</w:t>
            </w:r>
          </w:p>
        </w:tc>
        <w:tc>
          <w:tcPr>
            <w:tcW w:w="1851" w:type="dxa"/>
            <w:tcBorders>
              <w:top w:val="single" w:sz="4" w:color="000000"/>
            </w:tcBorders>
          </w:tcPr>
          <w:p>
            <w:pPr>
              <w:pStyle w:val="Compact"/>
              <w:spacing w:after="0"/>
              <w:ind w:firstLine="0"/>
              <w:jc w:val="left"/>
            </w:pPr>
            <w:r>
              <w:rPr>
                <w:rFonts w:ascii="Times New Roman" w:hAnsi="Times New Roman" w:cs="Times New Roman" w:eastAsia="Times New Roman"/>
                <w:b/>
                <w:bCs/>
                <w:sz w:val="16"/>
                <w:szCs w:val="16"/>
              </w:rPr>
              <w:t xml:space="preserve">1282</w:t>
            </w:r>
          </w:p>
        </w:tc>
        <w:tc>
          <w:tcPr>
            <w:tcW w:w="1366" w:type="dxa"/>
            <w:tcBorders>
              <w:top w:val="single" w:sz="4" w:color="000000"/>
            </w:tcBorders>
          </w:tcPr>
          <w:p>
            <w:pPr>
              <w:pStyle w:val="Compact"/>
              <w:spacing w:after="0"/>
              <w:ind w:firstLine="0"/>
              <w:jc w:val="left"/>
            </w:pPr>
            <w:r>
              <w:rPr>
                <w:rFonts w:ascii="Times New Roman" w:hAnsi="Times New Roman" w:cs="Times New Roman" w:eastAsia="Times New Roman"/>
                <w:b/>
                <w:bCs/>
                <w:sz w:val="16"/>
                <w:szCs w:val="16"/>
              </w:rPr>
              <w:t xml:space="preserve">1282</w:t>
            </w:r>
          </w:p>
        </w:tc>
      </w:tr>
      <w:tr>
        <w:tc>
          <w:tcPr>
            <w:tcW w:w="1656" w:type="dxa"/>
          </w:tcPr>
          <w:p>
            <w:pPr>
              <w:pStyle w:val="Compact"/>
              <w:spacing w:after="0"/>
              <w:ind w:firstLine="0"/>
              <w:jc w:val="left"/>
            </w:pPr>
            <w:r>
              <w:rPr>
                <w:rFonts w:ascii="Times New Roman" w:hAnsi="Times New Roman" w:cs="Times New Roman" w:eastAsia="Times New Roman"/>
                <w:b/>
                <w:bCs/>
                <w:sz w:val="16"/>
                <w:szCs w:val="16"/>
              </w:rPr>
              <w:t xml:space="preserve">Phishing total</w:t>
            </w:r>
          </w:p>
        </w:tc>
        <w:tc>
          <w:tcPr>
            <w:tcW w:w="1851" w:type="dxa"/>
          </w:tcPr>
          <w:p>
            <w:pPr>
              <w:pStyle w:val="Compact"/>
              <w:spacing w:after="0"/>
              <w:ind w:firstLine="0"/>
              <w:jc w:val="left"/>
            </w:pPr>
            <w:r>
              <w:rPr>
                <w:rFonts w:ascii="Times New Roman" w:hAnsi="Times New Roman" w:cs="Times New Roman" w:eastAsia="Times New Roman"/>
                <w:b/>
                <w:bCs/>
                <w:sz w:val="16"/>
                <w:szCs w:val="16"/>
              </w:rPr>
              <w:t xml:space="preserve">3801</w:t>
            </w:r>
          </w:p>
        </w:tc>
        <w:tc>
          <w:tcPr>
            <w:tcW w:w="1366" w:type="dxa"/>
          </w:tcPr>
          <w:p>
            <w:pPr>
              <w:pStyle w:val="Compact"/>
              <w:spacing w:after="0"/>
              <w:ind w:firstLine="0"/>
              <w:jc w:val="left"/>
            </w:pPr>
            <w:r>
              <w:rPr>
                <w:rFonts w:ascii="Times New Roman" w:hAnsi="Times New Roman" w:cs="Times New Roman" w:eastAsia="Times New Roman"/>
                <w:b/>
                <w:bCs/>
                <w:sz w:val="16"/>
                <w:szCs w:val="16"/>
              </w:rPr>
              <w:t xml:space="preserve">3801</w:t>
            </w:r>
          </w:p>
        </w:tc>
      </w:tr>
      <w:tr>
        <w:tc>
          <w:tcPr>
            <w:tcW w:w="1656" w:type="dxa"/>
          </w:tcPr>
          <w:p>
            <w:pPr>
              <w:pStyle w:val="Compact"/>
              <w:spacing w:after="0"/>
              <w:ind w:firstLine="0"/>
              <w:jc w:val="left"/>
            </w:pPr>
            <w:r>
              <w:rPr>
                <w:rFonts w:ascii="Times New Roman" w:hAnsi="Times New Roman" w:cs="Times New Roman" w:eastAsia="Times New Roman"/>
                <w:b/>
                <w:bCs/>
                <w:sz w:val="16"/>
                <w:szCs w:val="16"/>
              </w:rPr>
              <w:t xml:space="preserve">All URLs</w:t>
            </w:r>
          </w:p>
        </w:tc>
        <w:tc>
          <w:tcPr>
            <w:tcW w:w="1851" w:type="dxa"/>
          </w:tcPr>
          <w:p>
            <w:pPr>
              <w:pStyle w:val="Compact"/>
              <w:spacing w:after="0"/>
              <w:ind w:firstLine="0"/>
              <w:jc w:val="left"/>
            </w:pPr>
            <w:r>
              <w:rPr>
                <w:rFonts w:ascii="Times New Roman" w:hAnsi="Times New Roman" w:cs="Times New Roman" w:eastAsia="Times New Roman"/>
                <w:b/>
                <w:bCs/>
                <w:sz w:val="16"/>
                <w:szCs w:val="16"/>
              </w:rPr>
              <w:t xml:space="preserve">5083</w:t>
            </w:r>
          </w:p>
        </w:tc>
        <w:tc>
          <w:tcPr>
            <w:tcW w:w="1366" w:type="dxa"/>
          </w:tcPr>
          <w:p>
            <w:pPr>
              <w:pStyle w:val="Compact"/>
              <w:spacing w:after="0"/>
              <w:ind w:firstLine="0"/>
              <w:jc w:val="left"/>
            </w:pPr>
            <w:r>
              <w:rPr>
                <w:rFonts w:ascii="Times New Roman" w:hAnsi="Times New Roman" w:cs="Times New Roman" w:eastAsia="Times New Roman"/>
                <w:b/>
                <w:bCs/>
                <w:sz w:val="16"/>
                <w:szCs w:val="16"/>
              </w:rPr>
              <w:t xml:space="preserve">5083</w:t>
            </w:r>
          </w:p>
        </w:tc>
      </w:tr>
    </w:tbl>
    <w:p>
      <w:pPr>
        <w:pStyle w:val="BodyText"/>
      </w:pPr>
      <w:r>
        <w:t xml:space="preserve">The cost values decompose as follows. At the baseline, </w:t>
      </w:r>
      <m:oMath>
        <m:r>
          <m:t>1.0</m:t>
        </m:r>
        <m:d>
          <m:dPr>
            <m:begChr m:val="("/>
            <m:endChr m:val=")"/>
            <m:sepChr m:val=""/>
            <m:grow/>
          </m:dPr>
          <m:e>
            <m:r>
              <m:t>0.0728</m:t>
            </m:r>
          </m:e>
        </m:d>
        <m:r>
          <m:rPr>
            <m:sty m:val="p"/>
          </m:rPr>
          <m:t>+</m:t>
        </m:r>
        <m:r>
          <m:t>5.0</m:t>
        </m:r>
        <m:d>
          <m:dPr>
            <m:begChr m:val="("/>
            <m:endChr m:val=")"/>
            <m:sepChr m:val=""/>
            <m:grow/>
          </m:dPr>
          <m:e>
            <m:r>
              <m:t>0.0591</m:t>
            </m:r>
          </m:e>
        </m:d>
        <m:r>
          <m:rPr>
            <m:sty m:val="p"/>
          </m:rPr>
          <m:t>+</m:t>
        </m:r>
        <m:r>
          <m:t>0.5</m:t>
        </m:r>
        <m:d>
          <m:dPr>
            <m:begChr m:val="("/>
            <m:endChr m:val=")"/>
            <m:sepChr m:val=""/>
            <m:grow/>
          </m:dPr>
          <m:e>
            <m:r>
              <m:t>0.0376</m:t>
            </m:r>
          </m:e>
        </m:d>
        <m:r>
          <m:rPr>
            <m:sty m:val="p"/>
          </m:rPr>
          <m:t>=</m:t>
        </m:r>
        <m:r>
          <m:t>0.3873</m:t>
        </m:r>
      </m:oMath>
      <w:r>
        <w:t xml:space="preserve">. At the optimum, </w:t>
      </w:r>
      <m:oMath>
        <m:r>
          <m:t>1.0</m:t>
        </m:r>
        <m:d>
          <m:dPr>
            <m:begChr m:val="("/>
            <m:endChr m:val=")"/>
            <m:sepChr m:val=""/>
            <m:grow/>
          </m:dPr>
          <m:e>
            <m:r>
              <m:t>0.0338</m:t>
            </m:r>
          </m:e>
        </m:d>
        <m:r>
          <m:rPr>
            <m:sty m:val="p"/>
          </m:rPr>
          <m:t>+</m:t>
        </m:r>
        <m:r>
          <m:t>5.0</m:t>
        </m:r>
        <m:d>
          <m:dPr>
            <m:begChr m:val="("/>
            <m:endChr m:val=")"/>
            <m:sepChr m:val=""/>
            <m:grow/>
          </m:dPr>
          <m:e>
            <m:r>
              <m:t>0.0647</m:t>
            </m:r>
          </m:e>
        </m:d>
        <m:r>
          <m:rPr>
            <m:sty m:val="p"/>
          </m:rPr>
          <m:t>+</m:t>
        </m:r>
        <m:r>
          <m:t>0.5</m:t>
        </m:r>
        <m:d>
          <m:dPr>
            <m:begChr m:val="("/>
            <m:endChr m:val=")"/>
            <m:sepChr m:val=""/>
            <m:grow/>
          </m:dPr>
          <m:e>
            <m:r>
              <m:t>0.0146</m:t>
            </m:r>
          </m:e>
        </m:d>
        <m:r>
          <m:rPr>
            <m:sty m:val="p"/>
          </m:rPr>
          <m:t>+</m:t>
        </m:r>
        <m:r>
          <m:t>0.0033</m:t>
        </m:r>
        <m:r>
          <m:rPr>
            <m:sty m:val="p"/>
          </m:rPr>
          <m:t>=</m:t>
        </m:r>
        <m:r>
          <m:t>0.3676</m:t>
        </m:r>
      </m:oMath>
      <w:r>
        <w:t xml:space="preserve">, where the last term is the regularizer </w:t>
      </w:r>
      <m:oMath>
        <m:r>
          <m:t>0.05</m:t>
        </m:r>
        <m:d>
          <m:dPr>
            <m:begChr m:val="["/>
            <m:endChr m:val="]"/>
            <m:sepChr m:val=""/>
            <m:grow/>
          </m:dPr>
          <m:e>
            <m:sSup>
              <m:e>
                <m:d>
                  <m:dPr>
                    <m:begChr m:val="("/>
                    <m:endChr m:val=")"/>
                    <m:sepChr m:val=""/>
                    <m:grow/>
                  </m:dPr>
                  <m:e>
                    <m:r>
                      <m:t>0.25</m:t>
                    </m:r>
                  </m:e>
                </m:d>
              </m:e>
              <m:sup>
                <m:r>
                  <m:t>2</m:t>
                </m:r>
              </m:sup>
            </m:sSup>
            <m:r>
              <m:rPr>
                <m:sty m:val="p"/>
              </m:rPr>
              <m:t>+</m:t>
            </m:r>
            <m:sSup>
              <m:e>
                <m:d>
                  <m:dPr>
                    <m:begChr m:val="("/>
                    <m:endChr m:val=")"/>
                    <m:sepChr m:val=""/>
                    <m:grow/>
                  </m:dPr>
                  <m:e>
                    <m:r>
                      <m:t>0.05</m:t>
                    </m:r>
                  </m:e>
                </m:d>
              </m:e>
              <m:sup>
                <m:r>
                  <m:t>2</m:t>
                </m:r>
              </m:sup>
            </m:sSup>
          </m:e>
        </m:d>
      </m:oMath>
      <w:r>
        <w:t xml:space="preserve">. The row totals confirm 1282 benign and 3801 phishing test URLs (5083 in all) at both operating points, and Fig. 4 compares the error rates, review rate, and cost at the two operating points.</w:t>
      </w:r>
    </w:p>
    <w:p>
      <w:pPr>
        <w:pStyle w:val="BodyText"/>
        <w:keepNext/>
        <w:spacing w:before="120"/>
        <w:ind w:firstLine="0"/>
        <w:jc w:val="center"/>
      </w:pPr>
      <w:r>
        <w:drawing>
          <wp:inline>
            <wp:extent cx="3017520" cy="2041263"/>
            <wp:effectExtent b="0" l="0" r="0" t="0"/>
            <wp:docPr descr="Baseline versus optimized FPR, FNR, review rate and cost" title="" id="53" name="Picture"/>
            <a:graphic>
              <a:graphicData uri="http://schemas.openxmlformats.org/drawingml/2006/picture">
                <pic:pic>
                  <pic:nvPicPr>
                    <pic:cNvPr descr="fig4.png" id="54" name="Picture"/>
                    <pic:cNvPicPr>
                      <a:picLocks noChangeArrowheads="1" noChangeAspect="1"/>
                    </pic:cNvPicPr>
                  </pic:nvPicPr>
                  <pic:blipFill>
                    <a:blip r:embed="rId52"/>
                    <a:stretch>
                      <a:fillRect/>
                    </a:stretch>
                  </pic:blipFill>
                  <pic:spPr bwMode="auto">
                    <a:xfrm>
                      <a:off x="0" y="0"/>
                      <a:ext cx="3017520" cy="2041263"/>
                    </a:xfrm>
                    <a:prstGeom prst="rect">
                      <a:avLst/>
                    </a:prstGeom>
                    <a:noFill/>
                    <a:ln w="9525">
                      <a:noFill/>
                      <a:headEnd/>
                      <a:tailEnd/>
                    </a:ln>
                  </pic:spPr>
                </pic:pic>
              </a:graphicData>
            </a:graphic>
          </wp:inline>
        </w:drawing>
      </w:r>
    </w:p>
    <w:p>
      <w:pPr>
        <w:pStyle w:val="FigCaption"/>
      </w:pPr>
      <w:r>
        <w:t xml:space="preserve">Fig. 4. Baseline (0.35/0.70) versus optimized (0.60/0.75) thresholds: (a) FPR, FNR and review rate in percent; (b) operational cost </w:t>
      </w:r>
      <m:oMath>
        <m:r>
          <m:t xml:space="preserve">J</m:t>
        </m:r>
      </m:oMath>
      <w:r>
        <w:t xml:space="preserve">.</w:t>
      </w:r>
    </w:p>
    <w:bookmarkEnd w:id="55"/>
    <w:bookmarkStart w:id="56" w:name="c.-analysis"/>
    <w:p>
      <w:pPr>
        <w:pStyle w:val="Heading2"/>
      </w:pPr>
      <w:r>
        <w:t xml:space="preserve">C. Analysis</w:t>
      </w:r>
    </w:p>
    <w:p>
      <w:pPr>
        <w:pStyle w:val="FirstParagraph"/>
      </w:pPr>
      <w:r>
        <w:t xml:space="preserve">False positives fall from 92 to 42 and reviews fall by 63%, which relieves both users and analysts. Missed phishing, counting allowed and reviewed URLs, rises from 221 to 242, an increase of 21 URLs and 0.56 percentage points of FNR (about 10% in relative terms). The cost weights endorse this trade: fifty fewer false positives and a 2.30 percentage-point lower review rate outweigh the extra misses, giving a net cost reduction of 0.0197. The error type also shifts. Allowed phishing nearly doubles (100 to 193) while reviewed phishing roughly halves (121 to 49), so the additional misses are concentrated among URLs scoring in the widened Allow band.</w:t>
      </w:r>
    </w:p>
    <w:bookmarkEnd w:id="56"/>
    <w:bookmarkEnd w:id="57"/>
    <w:bookmarkStart w:id="58" w:name="ix.-discussion-and-limitations"/>
    <w:p>
      <w:pPr>
        <w:pStyle w:val="Heading1"/>
      </w:pPr>
      <w:r>
        <w:t xml:space="preserve">IX. DISCUSSION AND LIMITATIONS</w:t>
      </w:r>
    </w:p>
    <w:p>
      <w:pPr>
        <w:pStyle w:val="FirstParagraph"/>
      </w:pPr>
      <w:r>
        <w:rPr>
          <w:iCs/>
          <w:i/>
        </w:rPr>
        <w:t xml:space="preserve">Why thresholds rise.</w:t>
      </w:r>
      <w:r>
        <w:t xml:space="preserve"> With a well-separated, calibrated model (ROC-AUC 0.9929) most benign URLs score very low, so the ambiguous band is narrow. Raising </w:t>
      </w:r>
      <m:oMath>
        <m:sSub>
          <m:e>
            <m:r>
              <m:t>θ</m:t>
            </m:r>
          </m:e>
          <m:sub>
            <m:r>
              <m:t>r</m:t>
            </m:r>
          </m:sub>
        </m:sSub>
      </m:oMath>
      <w:r>
        <w:t xml:space="preserve"> from 0.35 to 0.60 removes many benign URLs from Review at a modest cost in missed phishing.</w:t>
      </w:r>
    </w:p>
    <w:p>
      <w:pPr>
        <w:pStyle w:val="BodyText"/>
      </w:pPr>
      <w:r>
        <w:rPr>
          <w:iCs/>
          <w:i/>
        </w:rPr>
        <w:t xml:space="preserve">Boundary optimum.</w:t>
      </w:r>
      <w:r>
        <w:t xml:space="preserve"> The result is the projected-gradient fixed point under the box and gap constraints, not an interior optimum or a KKT point of the smoothed problem (Section V.A). The surrogate’s gradient at </w:t>
      </w:r>
      <m:oMath>
        <m:sSub>
          <m:e>
            <m:r>
              <m:t>θ</m:t>
            </m:r>
          </m:e>
          <m:sub>
            <m:r>
              <m:t>r</m:t>
            </m:r>
          </m:sub>
        </m:sSub>
        <m:r>
          <m:rPr>
            <m:sty m:val="p"/>
          </m:rPr>
          <m:t>=</m:t>
        </m:r>
        <m:r>
          <m:t>0.60</m:t>
        </m:r>
      </m:oMath>
      <w:r>
        <w:t xml:space="preserve"> is negative, so a larger upper bound could lower the cost further, which is a natural next experiment.</w:t>
      </w:r>
    </w:p>
    <w:p>
      <w:pPr>
        <w:pStyle w:val="BodyText"/>
      </w:pPr>
      <w:r>
        <w:rPr>
          <w:iCs/>
          <w:i/>
        </w:rPr>
        <w:t xml:space="preserve">Bayes threshold versus two thresholds.</w:t>
      </w:r>
      <w:r>
        <w:t xml:space="preserve"> The single-threshold value 0.1667 is far below </w:t>
      </w:r>
      <m:oMath>
        <m:sSub>
          <m:e>
            <m:r>
              <m:t>θ</m:t>
            </m:r>
          </m:e>
          <m:sub>
            <m:r>
              <m:t>r</m:t>
            </m:r>
          </m:sub>
        </m:sSub>
        <m:r>
          <m:rPr>
            <m:sty m:val="p"/>
          </m:rPr>
          <m:t>=</m:t>
        </m:r>
        <m:r>
          <m:t>0.60</m:t>
        </m:r>
      </m:oMath>
      <w:r>
        <w:t xml:space="preserve"> because the review option and its cost alter the problem, because reviewed phishing counts as missed in FNR, and because the regularizer and bounds pull the solution toward the centre.</w:t>
      </w:r>
    </w:p>
    <w:p>
      <w:pPr>
        <w:pStyle w:val="BodyText"/>
      </w:pPr>
      <w:r>
        <w:rPr>
          <w:i/>
          <w:iCs/>
        </w:rPr>
        <w:t xml:space="preserve">Limitations.</w:t>
      </w:r>
      <w:r>
        <w:t xml:space="preserve"> (i) Benign URLs are generated variants of 820 base domains, so benign diversity is limited. (ii) Only lexical features are used; no page content, redirects, or certificates are inspected. (iii) Test prevalence of 74.78% phishing is far above real-world rates. (iv) The main results are reported on the same 5083 URLs on which the thresholds were tuned, so the headline gain is in-sample. Section VII describes a domain-grouped check in which thresholds are tuned on 4066 URLs and evaluated on a held-out 1017; an independently collected evaluation set would still be preferable. (v) The recorded smoothed cost </w:t>
      </w:r>
      <m:oMath>
        <m:acc>
          <m:accPr>
            <m:chr m:val="̃"/>
          </m:accPr>
          <m:e>
            <m:r>
              <m:t xml:space="preserve">J</m:t>
            </m:r>
          </m:e>
        </m:acc>
      </m:oMath>
      <w:r>
        <w:t xml:space="preserve"> rises from 0.289 to 0.419 over the iterations (Fig. 3), whereas descent should lower it. The regularizer is not the cause: </w:t>
      </w:r>
      <m:oMath>
        <m:r>
          <m:t xml:space="preserve">λ</m:t>
        </m:r>
        <m:r>
          <m:rPr>
            <m:sty m:val="p"/>
          </m:rPr>
          <m:t xml:space="preserve">‖</m:t>
        </m:r>
        <m:r>
          <m:t xml:space="preserve">θ</m:t>
        </m:r>
        <m:r>
          <m:rPr>
            <m:sty m:val="p"/>
          </m:rPr>
          <m:t xml:space="preserve">−</m:t>
        </m:r>
        <m:sSub>
          <m:e>
            <m:r>
              <m:t xml:space="preserve">t</m:t>
            </m:r>
          </m:e>
          <m:sub>
            <m:r>
              <m:rPr>
                <m:sty m:val="p"/>
              </m:rPr>
              <m:t xml:space="preserve">0</m:t>
            </m:r>
          </m:sub>
        </m:sSub>
        <m:r>
          <m:rPr>
            <m:sty m:val="p"/>
          </m:rPr>
          <m:t xml:space="preserve">‖</m:t>
        </m:r>
        <m:sSup>
          <m:e>
            <m:r>
              <m:rPr>
                <m:sty m:val="p"/>
              </m:rPr>
              <m:t xml:space="preserve"/>
            </m:r>
          </m:e>
          <m:sup>
            <m:r>
              <m:rPr>
                <m:sty m:val="p"/>
              </m:rPr>
              <m:t xml:space="preserve">2</m:t>
            </m:r>
          </m:sup>
        </m:sSup>
        <m:r>
          <m:rPr>
            <m:sty m:val="p"/>
          </m:rPr>
          <m:t xml:space="preserve">=0.05[(0.60−0.35)</m:t>
        </m:r>
        <m:sSup>
          <m:e>
            <m:r>
              <m:rPr>
                <m:sty m:val="p"/>
              </m:rPr>
              <m:t xml:space="preserve"/>
            </m:r>
          </m:e>
          <m:sup>
            <m:r>
              <m:rPr>
                <m:sty m:val="p"/>
              </m:rPr>
              <m:t xml:space="preserve">2</m:t>
            </m:r>
          </m:sup>
        </m:sSup>
        <m:r>
          <m:rPr>
            <m:sty m:val="p"/>
          </m:rPr>
          <m:t xml:space="preserve">+(0.75−0.70)</m:t>
        </m:r>
        <m:sSup>
          <m:e>
            <m:r>
              <m:rPr>
                <m:sty m:val="p"/>
              </m:rPr>
              <m:t xml:space="preserve"/>
            </m:r>
          </m:e>
          <m:sup>
            <m:r>
              <m:rPr>
                <m:sty m:val="p"/>
              </m:rPr>
              <m:t xml:space="preserve">2</m:t>
            </m:r>
          </m:sup>
        </m:sSup>
        <m:r>
          <m:rPr>
            <m:sty m:val="p"/>
          </m:rPr>
          <m:t xml:space="preserve">]=0.00325</m:t>
        </m:r>
      </m:oMath>
      <w:r>
        <w:t xml:space="preserve"> at the optimum and 0 at the baseline thresholds </w:t>
      </w:r>
      <m:oMath>
        <m:sSub>
          <m:e>
            <m:r>
              <m:t xml:space="preserve">t</m:t>
            </m:r>
          </m:e>
          <m:sub>
            <m:r>
              <m:rPr>
                <m:sty m:val="p"/>
              </m:rPr>
              <m:t xml:space="preserve">0</m:t>
            </m:r>
          </m:sub>
        </m:sSub>
      </m:oMath>
      <w:r>
        <w:t xml:space="preserve">, so it contributes at most 0.003 to a total rise of 0.130. The rise comes instead from the projection step, which resets </w:t>
      </w:r>
      <m:oMath>
        <m:sSub>
          <m:e>
            <m:r>
              <m:t xml:space="preserve">θ</m:t>
            </m:r>
          </m:e>
          <m:sub>
            <m:r>
              <m:t xml:space="preserve">b</m:t>
            </m:r>
          </m:sub>
        </m:sSub>
      </m:oMath>
      <w:r>
        <w:t xml:space="preserve"> to </w:t>
      </w:r>
      <m:oMath>
        <m:sSub>
          <m:e>
            <m:r>
              <m:t xml:space="preserve">θ</m:t>
            </m:r>
          </m:e>
          <m:sub>
            <m:r>
              <m:t xml:space="preserve">r</m:t>
            </m:r>
          </m:sub>
        </m:sSub>
        <m:r>
          <m:rPr>
            <m:sty m:val="p"/>
          </m:rPr>
          <m:t xml:space="preserve">+0.15</m:t>
        </m:r>
      </m:oMath>
      <w:r>
        <w:t xml:space="preserve"> after every update and so moves </w:t>
      </w:r>
      <m:oMath>
        <m:sSub>
          <m:e>
            <m:r>
              <m:t xml:space="preserve">θ</m:t>
            </m:r>
          </m:e>
          <m:sub>
            <m:r>
              <m:t xml:space="preserve">b</m:t>
            </m:r>
          </m:sub>
        </m:sSub>
      </m:oMath>
      <w:r>
        <w:t xml:space="preserve"> upward although </w:t>
      </w:r>
      <m:oMath>
        <m:f>
          <m:fPr>
            <m:type m:val="lin"/>
          </m:fPr>
          <m:num>
            <m:r>
              <m:t xml:space="preserve">∂</m:t>
            </m:r>
            <m:acc>
              <m:accPr>
                <m:chr m:val="̃"/>
              </m:accPr>
              <m:e>
                <m:r>
                  <m:t xml:space="preserve">J</m:t>
                </m:r>
              </m:e>
            </m:acc>
          </m:num>
          <m:den>
            <m:r>
              <m:t xml:space="preserve">∂</m:t>
            </m:r>
            <m:sSub>
              <m:e>
                <m:r>
                  <m:t xml:space="preserve">θ</m:t>
                </m:r>
              </m:e>
              <m:sub>
                <m:r>
                  <m:t xml:space="preserve">b</m:t>
                </m:r>
              </m:sub>
            </m:sSub>
          </m:den>
        </m:f>
        <m:r>
          <m:rPr>
            <m:sty m:val="p"/>
          </m:rPr>
          <m:t xml:space="preserve">=+1.5507</m:t>
        </m:r>
      </m:oMath>
      <w:r>
        <w:t xml:space="preserve"> favours lowering it, a loss that exceeds the gain from raising </w:t>
      </w:r>
      <m:oMath>
        <m:sSub>
          <m:e>
            <m:r>
              <m:t xml:space="preserve">θ</m:t>
            </m:r>
          </m:e>
          <m:sub>
            <m:r>
              <m:t xml:space="preserve">r</m:t>
            </m:r>
          </m:sub>
        </m:sSub>
      </m:oMath>
      <w:r>
        <w:t xml:space="preserve"> (</w:t>
      </w:r>
      <m:oMath>
        <m:f>
          <m:fPr>
            <m:type m:val="lin"/>
          </m:fPr>
          <m:num>
            <m:r>
              <m:t xml:space="preserve">∂</m:t>
            </m:r>
            <m:acc>
              <m:accPr>
                <m:chr m:val="̃"/>
              </m:accPr>
              <m:e>
                <m:r>
                  <m:t xml:space="preserve">J</m:t>
                </m:r>
              </m:e>
            </m:acc>
          </m:num>
          <m:den>
            <m:r>
              <m:t xml:space="preserve">∂</m:t>
            </m:r>
            <m:sSub>
              <m:e>
                <m:r>
                  <m:t xml:space="preserve">θ</m:t>
                </m:r>
              </m:e>
              <m:sub>
                <m:r>
                  <m:t xml:space="preserve">r</m:t>
                </m:r>
              </m:sub>
            </m:sSub>
          </m:den>
        </m:f>
        <m:r>
          <m:rPr>
            <m:sty m:val="p"/>
          </m:rPr>
          <m:t xml:space="preserve">=−0.1608</m:t>
        </m:r>
      </m:oMath>
      <w:r>
        <w:t xml:space="preserve">). The hard operational cost, which is the relevant metric, decreases from 0.387 to 0.364 once the regularizer is excluded (0.3676 with it), and Fig. 3 shows both curves. A projection that handles the gap constraint jointly could change the trajectory and is left for future work. (vi) Only diagonal second derivatives were evaluated.</w:t>
      </w:r>
    </w:p>
    <w:bookmarkEnd w:id="58"/>
    <w:bookmarkStart w:id="59" w:name="x.-conclusion"/>
    <w:p>
      <w:pPr>
        <w:pStyle w:val="Heading1"/>
      </w:pPr>
      <w:r>
        <w:t xml:space="preserve">X. CONCLUSION</w:t>
      </w:r>
    </w:p>
    <w:p>
      <w:pPr>
        <w:pStyle w:val="FirstParagraph"/>
      </w:pPr>
      <w:r>
        <w:t xml:space="preserve">ARES pairs a calibrated XGBoost classifier (ROC-AUC 0.9929, PR-AUC 0.9976, Brier score 0.0297) with a calculus-derived threshold policy. Recognising that the hard cost cannot be differentiated, we introduced a sigmoid surrogate on which gradient descent, derivative tests, and KKT reasoning apply. The optimized thresholds </w:t>
      </w:r>
      <m:oMath>
        <m:d>
          <m:dPr>
            <m:begChr m:val="("/>
            <m:endChr m:val=")"/>
            <m:sepChr m:val=""/>
            <m:grow/>
          </m:dPr>
          <m:e>
            <m:r>
              <m:t>0.60</m:t>
            </m:r>
            <m:r>
              <m:rPr>
                <m:sty m:val="p"/>
              </m:rPr>
              <m:t>,</m:t>
            </m:r>
            <m:r>
              <m:t>0.75</m:t>
            </m:r>
          </m:e>
        </m:d>
      </m:oMath>
      <w:r>
        <w:t xml:space="preserve"> reduce operational cost by 5.1%, false alarms by 54%, and manual reviews by 63%, at the price of a 0.56 percentage-point higher false-negative rate that the cost weights justify. Future work includes live page and redirect analysis, validation on an independently collected evaluation set, evaluation of the full Hessian with wider bounds, a hybrid in which the heuristic policy refines the calculus thresholds from feedback, and testing on real benign QR traffic.</w:t>
      </w:r>
    </w:p>
    <w:bookmarkEnd w:id="59"/>
    <w:bookmarkStart w:id="60" w:name="acknowledgment"/>
    <w:p>
      <w:pPr>
        <w:pStyle w:val="Heading1"/>
      </w:pPr>
      <w:r>
        <w:t xml:space="preserve">ACKNOWLEDGMENT</w:t>
      </w:r>
    </w:p>
    <w:p>
      <w:pPr>
        <w:pStyle w:val="FirstParagraph"/>
      </w:pPr>
      <w:r>
        <w:t xml:space="preserve">The authors thank </w:t>
      </w:r>
      <w:r>
        <w:t xml:space="preserve">Prof. Vidya M J, Department of CSE, R V University, Bengaluru, India, for guidance on calculus formulation and threshold optimization. Contributions: A. S. Jain, XGBoost, calculus module, and adaptive agent; A. C. Naik, feature extractor and QR utilities; A. R. Bhat, Streamlit application and interface; A. Subramaniam, experiments, baseline metrics, and report.</w:t>
      </w:r>
    </w:p>
    <w:bookmarkEnd w:id="60"/>
    <w:bookmarkStart w:id="61" w:name="references"/>
    <w:p>
      <w:pPr>
        <w:pStyle w:val="Heading1"/>
      </w:pPr>
      <w:r>
        <w:t xml:space="preserve">REFERENCES</w:t>
      </w:r>
    </w:p>
    <w:p>
      <w:pPr>
        <w:pStyle w:val="Reference"/>
      </w:pPr>
      <w:r>
        <w:t xml:space="preserve">[1] T. Chen and C. Guestrin, “XGBoost: A scalable tree boosting system,” in </w:t>
      </w:r>
      <w:r>
        <w:rPr>
          <w:iCs/>
          <w:i/>
        </w:rPr>
        <w:t xml:space="preserve">Proc. 22nd ACM SIGKDD Int. Conf. Knowl. Discovery Data Mining</w:t>
      </w:r>
      <w:r>
        <w:t xml:space="preserve">, San Francisco, CA, USA, 2016, pp. 785–794.</w:t>
      </w:r>
    </w:p>
    <w:p>
      <w:pPr>
        <w:pStyle w:val="Reference"/>
      </w:pPr>
      <w:r>
        <w:t xml:space="preserve">[2] B. Zadrozny and C. Elkan, “Transforming classifier scores into accurate multiclass probability estimates,” in </w:t>
      </w:r>
      <w:r>
        <w:rPr>
          <w:iCs/>
          <w:i/>
        </w:rPr>
        <w:t xml:space="preserve">Proc. 8th ACM SIGKDD Int. Conf. Knowl. Discovery Data Mining</w:t>
      </w:r>
      <w:r>
        <w:t xml:space="preserve">, Edmonton, AB, Canada, 2002, pp. 694–699.</w:t>
      </w:r>
    </w:p>
    <w:p>
      <w:pPr>
        <w:pStyle w:val="Reference"/>
      </w:pPr>
      <w:r>
        <w:t xml:space="preserve">[3] C. Elkan, “The foundations of cost-sensitive learning,” in </w:t>
      </w:r>
      <w:r>
        <w:rPr>
          <w:iCs/>
          <w:i/>
        </w:rPr>
        <w:t xml:space="preserve">Proc. 17th Int. Joint Conf. Artif. Intell.</w:t>
      </w:r>
      <w:r>
        <w:t xml:space="preserve">, Seattle, WA, USA, 2001, pp. 973–978.</w:t>
      </w:r>
    </w:p>
    <w:p>
      <w:pPr>
        <w:pStyle w:val="Reference"/>
      </w:pPr>
      <w:r>
        <w:t xml:space="preserve">[4] F. Pedregosa </w:t>
      </w:r>
      <w:r>
        <w:rPr>
          <w:iCs/>
          <w:i/>
        </w:rPr>
        <w:t xml:space="preserve">et al.</w:t>
      </w:r>
      <w:r>
        <w:t xml:space="preserve">, “Scikit-learn: Machine learning in Python,” </w:t>
      </w:r>
      <w:r>
        <w:rPr>
          <w:iCs/>
          <w:i/>
        </w:rPr>
        <w:t xml:space="preserve">J. Mach. Learn. Res.</w:t>
      </w:r>
      <w:r>
        <w:t xml:space="preserve">, vol. 12, pp. 2825–2830, 2011.</w:t>
      </w:r>
    </w:p>
    <w:p>
      <w:pPr>
        <w:pStyle w:val="Reference"/>
      </w:pPr>
      <w:r>
        <w:t xml:space="preserve">[5] S. Boyd and L. Vandenberghe, </w:t>
      </w:r>
      <w:r>
        <w:rPr>
          <w:iCs/>
          <w:i/>
        </w:rPr>
        <w:t xml:space="preserve">Convex Optimization</w:t>
      </w:r>
      <w:r>
        <w:t xml:space="preserve">. Cambridge, U.K.: Cambridge Univ. Press, 2004.</w:t>
      </w:r>
    </w:p>
    <w:p>
      <w:pPr>
        <w:pStyle w:val="Reference"/>
      </w:pPr>
      <w:r>
        <w:t xml:space="preserve">[6] J. Nocedal and S. J. Wright, </w:t>
      </w:r>
      <w:r>
        <w:rPr>
          <w:iCs/>
          <w:i/>
        </w:rPr>
        <w:t xml:space="preserve">Numerical Optimization</w:t>
      </w:r>
      <w:r>
        <w:t xml:space="preserve">, 2nd ed. New York, NY, USA: Springer, 2006.</w:t>
      </w:r>
    </w:p>
    <w:p>
      <w:pPr>
        <w:pStyle w:val="Reference"/>
      </w:pPr>
      <w:r>
        <w:t xml:space="preserve">[7] H. W. Kuhn and A. W. Tucker, “Nonlinear programming,” in </w:t>
      </w:r>
      <w:r>
        <w:rPr>
          <w:iCs/>
          <w:i/>
        </w:rPr>
        <w:t xml:space="preserve">Proc. 2nd Berkeley Symp. Math. Statist. Probab.</w:t>
      </w:r>
      <w:r>
        <w:t xml:space="preserve">, Berkeley, CA, USA, 1951, pp. 481–492.</w:t>
      </w:r>
    </w:p>
    <w:p>
      <w:pPr>
        <w:pStyle w:val="Reference"/>
      </w:pPr>
      <w:r>
        <w:t xml:space="preserve">[8] R. S. Sutton and A. G. Barto, </w:t>
      </w:r>
      <w:r>
        <w:rPr>
          <w:iCs/>
          <w:i/>
        </w:rPr>
        <w:t xml:space="preserve">Reinforcement Learning: An Introduction</w:t>
      </w:r>
      <w:r>
        <w:t xml:space="preserve">, 2nd ed. Cambridge, MA, USA: MIT Press, 2018.</w:t>
      </w:r>
    </w:p>
    <w:bookmarkEnd w:id="61"/>
    <w:bookmarkStart w:id="62" w:name="Xf648dc0fc7242a4de7195fdbc91ca9ddbefe8a8"/>
    <w:p>
      <w:pPr>
        <w:pStyle w:val="Heading1"/>
      </w:pPr>
      <w:r>
        <w:t xml:space="preserve">APPENDIX: CORE ROUTINES FROM </w:t>
      </w:r>
      <w:r>
        <w:rPr>
          <w:rStyle w:val="VerbatimChar"/>
        </w:rPr>
        <w:t xml:space="preserve">calculus_threshold.py</w:t>
      </w:r>
    </w:p>
    <w:p>
      <w:pPr>
        <w:pStyle w:val="SourceCode"/>
        <w:jc w:val="left"/>
      </w:pPr>
      <w:r>
        <w:rPr>
          <w:rFonts w:ascii="Courier New" w:hAnsi="Courier New" w:cs="Courier New" w:eastAsia="Courier New"/>
          <w:sz w:val="16"/>
          <w:szCs w:val="16"/>
        </w:rPr>
        <w:t xml:space="preserve">import numpy as np</w:t>
      </w:r>
      <w:r>
        <w:br/>
        <w:br/>
      </w:r>
      <w:r>
        <w:rPr>
          <w:rFonts w:ascii="Courier New" w:hAnsi="Courier New" w:cs="Courier New" w:eastAsia="Courier New"/>
          <w:sz w:val="16"/>
          <w:szCs w:val="16"/>
        </w:rPr>
        <w:t xml:space="preserve">def _sigmoid(z):</w:t>
      </w:r>
      <w:r>
        <w:br/>
      </w:r>
      <w:r>
        <w:rPr>
          <w:rFonts w:ascii="Courier New" w:hAnsi="Courier New" w:cs="Courier New" w:eastAsia="Courier New"/>
          <w:sz w:val="16"/>
          <w:szCs w:val="16"/>
        </w:rPr>
        <w:t xml:space="preserve">    return 1/(1+np.exp(-np.clip(z,-30,30)))</w:t>
      </w:r>
      <w:r>
        <w:br/>
        <w:br/>
      </w:r>
      <w:r>
        <w:rPr>
          <w:rFonts w:ascii="Courier New" w:hAnsi="Courier New" w:cs="Courier New" w:eastAsia="Courier New"/>
          <w:sz w:val="16"/>
          <w:szCs w:val="16"/>
        </w:rPr>
        <w:t xml:space="preserve">def _smoothed_rates(y, p, t_r, t_b, tau=0.05):</w:t>
      </w:r>
      <w:r>
        <w:br/>
      </w:r>
      <w:r>
        <w:rPr>
          <w:rFonts w:ascii="Courier New" w:hAnsi="Courier New" w:cs="Courier New" w:eastAsia="Courier New"/>
          <w:sz w:val="16"/>
          <w:szCs w:val="16"/>
        </w:rPr>
        <w:t xml:space="preserve">    s_r = _sigmoid((p - t_r) / tau)</w:t>
      </w:r>
      <w:r>
        <w:br/>
      </w:r>
      <w:r>
        <w:rPr>
          <w:rFonts w:ascii="Courier New" w:hAnsi="Courier New" w:cs="Courier New" w:eastAsia="Courier New"/>
          <w:sz w:val="16"/>
          <w:szCs w:val="16"/>
        </w:rPr>
        <w:t xml:space="preserve">    s_b = _sigmoid((p - t_b) / tau)</w:t>
      </w:r>
      <w:r>
        <w:br/>
      </w:r>
      <w:r>
        <w:rPr>
          <w:rFonts w:ascii="Courier New" w:hAnsi="Courier New" w:cs="Courier New" w:eastAsia="Courier New"/>
          <w:sz w:val="16"/>
          <w:szCs w:val="16"/>
        </w:rPr>
        <w:t xml:space="preserve">    fpr = np.mean(s_r[y == 0])</w:t>
      </w:r>
      <w:r>
        <w:br/>
      </w:r>
      <w:r>
        <w:rPr>
          <w:rFonts w:ascii="Courier New" w:hAnsi="Courier New" w:cs="Courier New" w:eastAsia="Courier New"/>
          <w:sz w:val="16"/>
          <w:szCs w:val="16"/>
        </w:rPr>
        <w:t xml:space="preserve">    fnr = 1.0 - np.mean(s_b[y == 1])</w:t>
      </w:r>
      <w:r>
        <w:br/>
      </w:r>
      <w:r>
        <w:rPr>
          <w:rFonts w:ascii="Courier New" w:hAnsi="Courier New" w:cs="Courier New" w:eastAsia="Courier New"/>
          <w:sz w:val="16"/>
          <w:szCs w:val="16"/>
        </w:rPr>
        <w:t xml:space="preserve">    rev = np.mean(s_r * (1.0 - s_b))</w:t>
      </w:r>
      <w:r>
        <w:br/>
      </w:r>
      <w:r>
        <w:rPr>
          <w:rFonts w:ascii="Courier New" w:hAnsi="Courier New" w:cs="Courier New" w:eastAsia="Courier New"/>
          <w:sz w:val="16"/>
          <w:szCs w:val="16"/>
        </w:rPr>
        <w:t xml:space="preserve">    return fpr, fnr, rev</w:t>
      </w:r>
      <w:r>
        <w:br/>
        <w:br/>
      </w:r>
      <w:r>
        <w:rPr>
          <w:rFonts w:ascii="Courier New" w:hAnsi="Courier New" w:cs="Courier New" w:eastAsia="Courier New"/>
          <w:sz w:val="16"/>
          <w:szCs w:val="16"/>
        </w:rPr>
        <w:t xml:space="preserve">def expected_cost_smoothed(y, p, t_r, t_b,</w:t>
      </w:r>
      <w:r>
        <w:br/>
      </w:r>
      <w:r>
        <w:rPr>
          <w:rFonts w:ascii="Courier New" w:hAnsi="Courier New" w:cs="Courier New" w:eastAsia="Courier New"/>
          <w:sz w:val="16"/>
          <w:szCs w:val="16"/>
        </w:rPr>
        <w:t xml:space="preserve">        c_fp=1.0, c_fn=5.0, c_rev=0.5, tau=0.05):</w:t>
      </w:r>
      <w:r>
        <w:br/>
      </w:r>
      <w:r>
        <w:rPr>
          <w:rFonts w:ascii="Courier New" w:hAnsi="Courier New" w:cs="Courier New" w:eastAsia="Courier New"/>
          <w:sz w:val="16"/>
          <w:szCs w:val="16"/>
        </w:rPr>
        <w:t xml:space="preserve">    f, n, r = _smoothed_rates(y, p, t_r, t_b, tau)</w:t>
      </w:r>
      <w:r>
        <w:br/>
      </w:r>
      <w:r>
        <w:rPr>
          <w:rFonts w:ascii="Courier New" w:hAnsi="Courier New" w:cs="Courier New" w:eastAsia="Courier New"/>
          <w:sz w:val="16"/>
          <w:szCs w:val="16"/>
        </w:rPr>
        <w:t xml:space="preserve">    reg = 0.05*((t_r-0.35)**2 + (t_b-0.70)**2)</w:t>
      </w:r>
      <w:r>
        <w:br/>
      </w:r>
      <w:r>
        <w:rPr>
          <w:rFonts w:ascii="Courier New" w:hAnsi="Courier New" w:cs="Courier New" w:eastAsia="Courier New"/>
          <w:sz w:val="16"/>
          <w:szCs w:val="16"/>
        </w:rPr>
        <w:t xml:space="preserve">    return f*c_fp + n*c_fn + r*c_rev + reg</w:t>
      </w:r>
      <w:r>
        <w:br/>
        <w:br/>
      </w:r>
      <w:r>
        <w:rPr>
          <w:rFonts w:ascii="Courier New" w:hAnsi="Courier New" w:cs="Courier New" w:eastAsia="Courier New"/>
          <w:sz w:val="16"/>
          <w:szCs w:val="16"/>
        </w:rPr>
        <w:t xml:space="preserve"># central difference, eps = 1e-4</w:t>
      </w:r>
      <w:r>
        <w:br/>
      </w:r>
      <w:r>
        <w:rPr>
          <w:rFonts w:ascii="Courier New" w:hAnsi="Courier New" w:cs="Courier New" w:eastAsia="Courier New"/>
          <w:sz w:val="16"/>
          <w:szCs w:val="16"/>
        </w:rPr>
        <w:t xml:space="preserve">dC_dr = (c(t_r+eps, t_b)</w:t>
      </w:r>
      <w:r>
        <w:br/>
      </w:r>
      <w:r>
        <w:rPr>
          <w:rFonts w:ascii="Courier New" w:hAnsi="Courier New" w:cs="Courier New" w:eastAsia="Courier New"/>
          <w:sz w:val="16"/>
          <w:szCs w:val="16"/>
        </w:rPr>
        <w:t xml:space="preserve">         - c(t_r-eps, t_b)) / (2*eps)</w:t>
      </w:r>
      <w:r>
        <w:br/>
      </w:r>
      <w:r>
        <w:rPr>
          <w:rFonts w:ascii="Courier New" w:hAnsi="Courier New" w:cs="Courier New" w:eastAsia="Courier New"/>
          <w:sz w:val="16"/>
          <w:szCs w:val="16"/>
        </w:rPr>
        <w:t xml:space="preserve">dC_db = (c(t_r, t_b+eps)</w:t>
      </w:r>
      <w:r>
        <w:br/>
      </w:r>
      <w:r>
        <w:rPr>
          <w:rFonts w:ascii="Courier New" w:hAnsi="Courier New" w:cs="Courier New" w:eastAsia="Courier New"/>
          <w:sz w:val="16"/>
          <w:szCs w:val="16"/>
        </w:rPr>
        <w:t xml:space="preserve">         - c(t_r, t_b-eps)) / (2*eps)</w:t>
      </w:r>
      <w:r>
        <w:br/>
        <w:br/>
      </w:r>
      <w:r>
        <w:rPr>
          <w:rFonts w:ascii="Courier New" w:hAnsi="Courier New" w:cs="Courier New" w:eastAsia="Courier New"/>
          <w:sz w:val="16"/>
          <w:szCs w:val="16"/>
        </w:rPr>
        <w:t xml:space="preserve"># projected gradient descent</w:t>
      </w:r>
      <w:r>
        <w:br/>
      </w:r>
      <w:r>
        <w:rPr>
          <w:rFonts w:ascii="Courier New" w:hAnsi="Courier New" w:cs="Courier New" w:eastAsia="Courier New"/>
          <w:sz w:val="16"/>
          <w:szCs w:val="16"/>
        </w:rPr>
        <w:t xml:space="preserve">tr_new = np.clip(tr - lr*dC_dr, 0.15, 0.60)</w:t>
      </w:r>
      <w:r>
        <w:br/>
      </w:r>
      <w:r>
        <w:rPr>
          <w:rFonts w:ascii="Courier New" w:hAnsi="Courier New" w:cs="Courier New" w:eastAsia="Courier New"/>
          <w:sz w:val="16"/>
          <w:szCs w:val="16"/>
        </w:rPr>
        <w:t xml:space="preserve">tb_new = np.clip(tb - lr*dC_db, 0.45, 0.95)</w:t>
      </w:r>
      <w:r>
        <w:br/>
      </w:r>
      <w:r>
        <w:rPr>
          <w:rFonts w:ascii="Courier New" w:hAnsi="Courier New" w:cs="Courier New" w:eastAsia="Courier New"/>
          <w:sz w:val="16"/>
          <w:szCs w:val="16"/>
        </w:rPr>
        <w:t xml:space="preserve">if tb_new - tr_new &lt; 0.15:</w:t>
      </w:r>
      <w:r>
        <w:br/>
      </w:r>
      <w:r>
        <w:rPr>
          <w:rFonts w:ascii="Courier New" w:hAnsi="Courier New" w:cs="Courier New" w:eastAsia="Courier New"/>
          <w:sz w:val="16"/>
          <w:szCs w:val="16"/>
        </w:rPr>
        <w:t xml:space="preserve">    tb_new = np.clip(tr_new + 0.15, 0.45, 0.95)</w:t>
      </w:r>
    </w:p>
    <w:bookmarkEnd w:id="62"/>
    <w:sectPr>
      <w:type w:val="continuous"/>
      <w:pgSz w:w="12240" w:h="15840"/>
      <w:pgMar w:left="900" w:right="900" w:top="1080" w:bottom="144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40"/>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40"/>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0"/>
      <w:jc w:val="both"/>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0" w:line="240" w:lineRule="auto"/>
      <w:jc w:val="center"/>
    </w:pPr>
    <w:rPr>
      <w:rFonts w:ascii="Times New Roman" w:hAnsi="Times New Roman" w:cs="Times New Roman" w:eastAsia="Times New Roman"/>
      <w:i w:val="0"/>
      <w:smallCaps/>
      <w:color w:val="000000"/>
      <w:sz w:val="16"/>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000000"/>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Text">
    <w:name w:val="AbstractText"/>
    <w:basedOn w:val="BodyText"/>
    <w:qFormat/>
    <w:pPr>
      <w:spacing w:before="0" w:after="80" w:line="240" w:lineRule="auto"/>
      <w:jc w:val="both"/>
    </w:pPr>
    <w:rPr>
      <w:rFonts w:ascii="Times New Roman" w:hAnsi="Times New Roman" w:cs="Times New Roman" w:eastAsia="Times New Roman"/>
      <w:b/>
      <w:color w:val="000000"/>
      <w:sz w:val="18"/>
    </w:rPr>
  </w:style>
  <w:style w:type="paragraph" w:customStyle="1" w:styleId="FigCaption">
    <w:name w:val="FigCaption"/>
    <w:basedOn w:val="BodyText"/>
    <w:qFormat/>
    <w:pPr>
      <w:spacing w:before="40" w:after="160" w:line="240" w:lineRule="auto"/>
      <w:jc w:val="both"/>
    </w:pPr>
    <w:rPr>
      <w:rFonts w:ascii="Times New Roman" w:hAnsi="Times New Roman" w:cs="Times New Roman" w:eastAsia="Times New Roman"/>
      <w:color w:val="000000"/>
      <w:sz w:val="16"/>
    </w:rPr>
  </w:style>
  <w:style w:type="paragraph" w:customStyle="1" w:styleId="PaperTitle">
    <w:name w:val="PaperTitle"/>
    <w:basedOn w:val="BodyText"/>
    <w:qFormat/>
    <w:pPr>
      <w:spacing w:before="0" w:after="280" w:line="240" w:lineRule="auto"/>
      <w:jc w:val="center"/>
    </w:pPr>
    <w:rPr>
      <w:rFonts w:ascii="Times New Roman" w:hAnsi="Times New Roman" w:cs="Times New Roman" w:eastAsia="Times New Roman"/>
      <w:b w:val="0"/>
      <w:color w:val="000000"/>
      <w:sz w:val="40"/>
    </w:rPr>
  </w:style>
  <w:style w:type="paragraph" w:customStyle="1" w:styleId="Reference">
    <w:name w:val="Reference"/>
    <w:basedOn w:val="BodyText"/>
    <w:qFormat/>
    <w:pPr>
      <w:spacing w:before="0" w:after="40" w:line="240" w:lineRule="auto"/>
      <w:ind w:left="360" w:hanging="360"/>
      <w:jc w:val="both"/>
    </w:pPr>
    <w:rPr>
      <w:rFonts w:ascii="Times New Roman" w:hAnsi="Times New Roman" w:cs="Times New Roman" w:eastAsia="Times New Roman"/>
      <w:color w:val="000000"/>
      <w:sz w:val="16"/>
    </w:rPr>
  </w:style>
  <w:style w:type="paragraph" w:customStyle="1" w:styleId="TableCaption">
    <w:name w:val="TableCaption"/>
    <w:basedOn w:val="BodyText"/>
    <w:qFormat/>
  </w:style>
  <w:style w:type="paragraph" w:customStyle="1" w:styleId="SourceCode">
    <w:name w:val="Source Code"/>
    <w:basedOn w:val="Normal"/>
    <w:link w:val="VerbatimChar"/>
    <w:pPr>
      <w:wordWrap w:val="off"/>
      <w:spacing w:before="0" w:after="0" w:line="240" w:lineRule="auto"/>
      <w:jc w:val="left"/>
    </w:pPr>
    <w:rPr>
      <w:rFonts w:ascii="Courier New" w:hAnsi="Courier New" w:cs="Courier New" w:eastAsia="Courier New"/>
      <w:color w:val="000000"/>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200" w:after="80" w:line="240" w:lineRule="auto"/>
      <w:jc w:val="center"/>
    </w:pPr>
    <w:rPr>
      <w:rFonts w:ascii="Times New Roman" w:hAnsi="Times New Roman" w:cs="Times New Roman" w:eastAsia="Times New Roman"/>
      <w:b w:val="0"/>
      <w:i w:val="0"/>
      <w:caps/>
      <w:color w:val="000000"/>
      <w:sz w:val="20"/>
    </w:rPr>
  </w:style>
  <w:style w:type="paragraph" w:customStyle="1" w:styleId="Heading2">
    <w:name w:val="heading 2"/>
    <w:pPr>
      <w:keepNext/>
      <w:spacing w:before="120" w:after="60" w:line="240" w:lineRule="auto"/>
      <w:jc w:val="left"/>
    </w:pPr>
    <w:rPr>
      <w:rFonts w:ascii="Times New Roman" w:hAnsi="Times New Roman" w:cs="Times New Roman" w:eastAsia="Times New Roman"/>
      <w:b w:val="0"/>
      <w:i/>
      <w:caps w:val="0"/>
      <w:color w:val="00000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Mail1" Type="http://schemas.openxmlformats.org/officeDocument/2006/relationships/hyperlink" Target="mailto:aryansjainbtech25@rvu.edu.in" TargetMode="External"/><Relationship Id="rIdMail2" Type="http://schemas.openxmlformats.org/officeDocument/2006/relationships/hyperlink" Target="mailto:ashwinchandrashekarnaikbtech25@rvu.edu.in" TargetMode="External"/><Relationship Id="rIdMail3" Type="http://schemas.openxmlformats.org/officeDocument/2006/relationships/hyperlink" Target="mailto:ashwinrajeshabhatbtech25@rvu.edu.in" TargetMode="External"/><Relationship Id="rIdMail4" Type="http://schemas.openxmlformats.org/officeDocument/2006/relationships/hyperlink" Target="mailto:ashwinsubramaniambtech25@rv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2026-10-26T08:56:08Z</dcterms:created>
  <dcterms:modified xsi:type="dcterms:W3CDTF">2026-10-26T08:56:08Z</dcterms:modified>
</cp:coreProperties>
</file>

<file path=docProps/custom.xml><?xml version="1.0" encoding="utf-8"?>
<Properties xmlns="http://schemas.openxmlformats.org/officeDocument/2006/custom-properties" xmlns:vt="http://schemas.openxmlformats.org/officeDocument/2006/docPropsVTypes"/>
</file>