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22F2" w14:textId="77777777" w:rsidR="00424E5C" w:rsidRPr="004A0198" w:rsidRDefault="00000000">
      <w:pPr>
        <w:spacing w:after="80"/>
        <w:jc w:val="center"/>
        <w:rPr>
          <w:b/>
          <w:bCs/>
          <w:sz w:val="36"/>
          <w:szCs w:val="36"/>
        </w:rPr>
      </w:pPr>
      <w:r w:rsidRPr="004A0198">
        <w:rPr>
          <w:b/>
          <w:bCs/>
          <w:sz w:val="36"/>
          <w:szCs w:val="36"/>
        </w:rPr>
        <w:t>WOOTZ STEEL: ANCIENT INDIAN METALLURGY AND THE SCIENCE BEHIND IT</w:t>
      </w:r>
    </w:p>
    <w:p w14:paraId="47251F32" w14:textId="77777777" w:rsidR="004A0198" w:rsidRDefault="004A0198">
      <w:pPr>
        <w:spacing w:after="80"/>
        <w:jc w:val="center"/>
        <w:rPr>
          <w:b/>
          <w:bCs/>
          <w:sz w:val="30"/>
          <w:szCs w:val="30"/>
        </w:rPr>
      </w:pPr>
    </w:p>
    <w:p w14:paraId="595020A4" w14:textId="77777777" w:rsidR="004A0198" w:rsidRPr="004A0198" w:rsidRDefault="004A0198">
      <w:pPr>
        <w:spacing w:after="80"/>
        <w:jc w:val="center"/>
        <w:rPr>
          <w:b/>
          <w:bCs/>
          <w:sz w:val="24"/>
          <w:szCs w:val="24"/>
        </w:rPr>
      </w:pPr>
    </w:p>
    <w:p w14:paraId="53D65E80" w14:textId="77777777" w:rsidR="00424E5C" w:rsidRPr="004A0198" w:rsidRDefault="00000000">
      <w:pPr>
        <w:jc w:val="center"/>
        <w:rPr>
          <w:b/>
          <w:bCs/>
          <w:sz w:val="24"/>
          <w:szCs w:val="24"/>
        </w:rPr>
      </w:pPr>
      <w:r w:rsidRPr="004A0198">
        <w:rPr>
          <w:b/>
          <w:bCs/>
          <w:sz w:val="24"/>
          <w:szCs w:val="24"/>
        </w:rPr>
        <w:t xml:space="preserve">Aryan </w:t>
      </w:r>
      <w:proofErr w:type="spellStart"/>
      <w:r w:rsidRPr="004A0198">
        <w:rPr>
          <w:b/>
          <w:bCs/>
          <w:sz w:val="24"/>
          <w:szCs w:val="24"/>
        </w:rPr>
        <w:t>Vijayrao</w:t>
      </w:r>
      <w:proofErr w:type="spellEnd"/>
      <w:r w:rsidRPr="004A0198">
        <w:rPr>
          <w:b/>
          <w:bCs/>
          <w:sz w:val="24"/>
          <w:szCs w:val="24"/>
        </w:rPr>
        <w:t xml:space="preserve"> Sune</w:t>
      </w:r>
    </w:p>
    <w:p w14:paraId="2EE80279" w14:textId="15B3AE9B" w:rsidR="004A0198" w:rsidRPr="004A0198" w:rsidRDefault="00000000">
      <w:pPr>
        <w:jc w:val="center"/>
        <w:rPr>
          <w:b/>
          <w:bCs/>
          <w:sz w:val="22"/>
          <w:szCs w:val="22"/>
        </w:rPr>
      </w:pPr>
      <w:r w:rsidRPr="004A0198">
        <w:rPr>
          <w:b/>
          <w:bCs/>
          <w:sz w:val="22"/>
          <w:szCs w:val="22"/>
        </w:rPr>
        <w:t xml:space="preserve">PRN: 255109005  </w:t>
      </w:r>
    </w:p>
    <w:p w14:paraId="61F4445E" w14:textId="7201174E" w:rsidR="00424E5C" w:rsidRPr="004A0198" w:rsidRDefault="00000000">
      <w:pPr>
        <w:jc w:val="center"/>
        <w:rPr>
          <w:b/>
          <w:bCs/>
          <w:sz w:val="24"/>
          <w:szCs w:val="24"/>
        </w:rPr>
      </w:pPr>
      <w:r w:rsidRPr="004A0198">
        <w:rPr>
          <w:b/>
          <w:bCs/>
          <w:sz w:val="22"/>
          <w:szCs w:val="22"/>
        </w:rPr>
        <w:t xml:space="preserve">  SY CSE (UG) </w:t>
      </w:r>
      <w:proofErr w:type="spellStart"/>
      <w:proofErr w:type="gramStart"/>
      <w:r w:rsidRPr="004A0198">
        <w:rPr>
          <w:b/>
          <w:bCs/>
          <w:sz w:val="22"/>
          <w:szCs w:val="22"/>
        </w:rPr>
        <w:t>B.Tech</w:t>
      </w:r>
      <w:proofErr w:type="spellEnd"/>
      <w:proofErr w:type="gramEnd"/>
    </w:p>
    <w:p w14:paraId="72EFAB41" w14:textId="77777777" w:rsidR="00424E5C" w:rsidRPr="004A0198" w:rsidRDefault="00000000">
      <w:pPr>
        <w:spacing w:after="100"/>
        <w:jc w:val="center"/>
        <w:rPr>
          <w:b/>
          <w:bCs/>
          <w:sz w:val="24"/>
          <w:szCs w:val="24"/>
        </w:rPr>
      </w:pPr>
      <w:proofErr w:type="spellStart"/>
      <w:r w:rsidRPr="004A0198">
        <w:rPr>
          <w:b/>
          <w:bCs/>
          <w:sz w:val="22"/>
          <w:szCs w:val="22"/>
        </w:rPr>
        <w:t>Walchand</w:t>
      </w:r>
      <w:proofErr w:type="spellEnd"/>
      <w:r w:rsidRPr="004A0198">
        <w:rPr>
          <w:b/>
          <w:bCs/>
          <w:sz w:val="22"/>
          <w:szCs w:val="22"/>
        </w:rPr>
        <w:t xml:space="preserve"> College of Engineering, </w:t>
      </w:r>
      <w:proofErr w:type="spellStart"/>
      <w:r w:rsidRPr="004A0198">
        <w:rPr>
          <w:b/>
          <w:bCs/>
          <w:sz w:val="22"/>
          <w:szCs w:val="22"/>
        </w:rPr>
        <w:t>Sangli</w:t>
      </w:r>
      <w:proofErr w:type="spellEnd"/>
    </w:p>
    <w:p w14:paraId="3D1F66D3" w14:textId="77777777" w:rsidR="00424E5C" w:rsidRDefault="00424E5C"/>
    <w:p w14:paraId="5793FDE5" w14:textId="77777777" w:rsidR="004A0198" w:rsidRDefault="004A0198"/>
    <w:p w14:paraId="6F89C609" w14:textId="77777777" w:rsidR="004A0198" w:rsidRDefault="004A0198">
      <w:pPr>
        <w:sectPr w:rsidR="004A0198">
          <w:footerReference w:type="default" r:id="rId7"/>
          <w:pgSz w:w="12240" w:h="15840"/>
          <w:pgMar w:top="720" w:right="864" w:bottom="720" w:left="864" w:header="360" w:footer="360" w:gutter="0"/>
          <w:cols w:space="720"/>
          <w:docGrid w:linePitch="360"/>
        </w:sectPr>
      </w:pPr>
    </w:p>
    <w:p w14:paraId="137F36FE" w14:textId="77777777" w:rsidR="00424E5C" w:rsidRDefault="00000000">
      <w:pPr>
        <w:spacing w:after="50" w:line="230" w:lineRule="auto"/>
        <w:jc w:val="both"/>
      </w:pPr>
      <w:r>
        <w:rPr>
          <w:b/>
          <w:bCs/>
          <w:i/>
          <w:iCs/>
          <w:sz w:val="18"/>
          <w:szCs w:val="18"/>
        </w:rPr>
        <w:t>Abstract—</w:t>
      </w:r>
      <w:r>
        <w:rPr>
          <w:b/>
          <w:bCs/>
          <w:sz w:val="18"/>
          <w:szCs w:val="18"/>
        </w:rPr>
        <w:t>Wootz steel is a historically important crucible steel associated with the Indian subcontinent and later with patterned ‘Damascus’ blades. This paper treats wootz as a materials-technology problem rather than a legend, reviewing archaeological production sites, the crucible process, carbon control, solidification, cementite formation, forging, pattern development, properties, analytical methods, trade and decline. Metallographic, diffraction and chemical studies explain the characteristic microstructure of genuine wootz blades, while claims of a single secret recipe or universal superiority are not supported by the evidence. The central conclusion is that wootz was a sophisticated materials technology requiring control of raw materials, carbon activity, melting, solidification, thermal cycling and forging, even though ancient producers did not use modern thermodynamic or metallographic terminology.</w:t>
      </w:r>
    </w:p>
    <w:p w14:paraId="126D5B29" w14:textId="77777777" w:rsidR="00424E5C" w:rsidRDefault="00000000">
      <w:pPr>
        <w:spacing w:after="60" w:line="230" w:lineRule="auto"/>
        <w:jc w:val="both"/>
      </w:pPr>
      <w:r>
        <w:rPr>
          <w:b/>
          <w:bCs/>
          <w:i/>
          <w:iCs/>
          <w:sz w:val="18"/>
          <w:szCs w:val="18"/>
        </w:rPr>
        <w:t xml:space="preserve">Keywords: </w:t>
      </w:r>
      <w:r>
        <w:rPr>
          <w:i/>
          <w:iCs/>
          <w:sz w:val="18"/>
          <w:szCs w:val="18"/>
        </w:rPr>
        <w:t>wootz steel, crucible steel, Indian metallurgy, archaeometallurgy, cementite, microstructure, Damascus steel.</w:t>
      </w:r>
    </w:p>
    <w:p w14:paraId="084EDFCE" w14:textId="77777777" w:rsidR="00424E5C" w:rsidRDefault="00000000">
      <w:pPr>
        <w:keepNext/>
        <w:spacing w:before="90" w:after="40"/>
        <w:jc w:val="center"/>
      </w:pPr>
      <w:r>
        <w:rPr>
          <w:b/>
          <w:bCs/>
          <w:sz w:val="18"/>
          <w:szCs w:val="18"/>
        </w:rPr>
        <w:t>I. INTRODUCTION</w:t>
      </w:r>
    </w:p>
    <w:p w14:paraId="54ECA63F" w14:textId="77777777" w:rsidR="00424E5C" w:rsidRDefault="00000000">
      <w:pPr>
        <w:spacing w:after="50" w:line="230" w:lineRule="auto"/>
        <w:jc w:val="both"/>
      </w:pPr>
      <w:r>
        <w:rPr>
          <w:sz w:val="18"/>
          <w:szCs w:val="18"/>
        </w:rPr>
        <w:t>Wootz steel is a case study linking history with engineering science. Popular writing often calls it a lost super-material; a more useful question is which manufacturing controls were needed to produce it, what microstructures resulted, and what modern characterization reveals about the process. Unlike bloomery iron, which is a solid bloom of iron, steel and slag, crucible steel was made by heating a charge in a closed vessel until the desired composition and physical state were reached. Several crucible-steel traditions existed, so there was no single universal recipe.</w:t>
      </w:r>
    </w:p>
    <w:p w14:paraId="15B29282" w14:textId="77777777" w:rsidR="00424E5C" w:rsidRDefault="00000000">
      <w:pPr>
        <w:spacing w:after="50" w:line="230" w:lineRule="auto"/>
        <w:jc w:val="both"/>
      </w:pPr>
      <w:r>
        <w:rPr>
          <w:sz w:val="18"/>
          <w:szCs w:val="18"/>
        </w:rPr>
        <w:t>The interest of wootz lies in the interaction of composition and processing. Carbon governs phase constitution; solidification segregates carbon and minor elements; later thermal cycles and forging coarsen and align carbides. The famous watered pattern is therefore not a surface decoration but a manifestation of internal microstructure. This paper (1) gives a cautious historical background, (2) explains the thermochemistry of crucible steelmaking, (3) links processing to microstructure and properties, (4) reviews modern analytical studies, and (5) draws lessons for materials science, heritage conservation and engineering education.</w:t>
      </w:r>
    </w:p>
    <w:p w14:paraId="7EAB53F9" w14:textId="77777777" w:rsidR="00424E5C" w:rsidRDefault="00000000">
      <w:pPr>
        <w:keepNext/>
        <w:spacing w:before="90" w:after="40"/>
        <w:jc w:val="center"/>
      </w:pPr>
      <w:r>
        <w:rPr>
          <w:b/>
          <w:bCs/>
          <w:sz w:val="18"/>
          <w:szCs w:val="18"/>
        </w:rPr>
        <w:t>II. METHOD AND SCOPE</w:t>
      </w:r>
    </w:p>
    <w:p w14:paraId="0DC173FE" w14:textId="77777777" w:rsidR="00424E5C" w:rsidRDefault="00000000">
      <w:pPr>
        <w:spacing w:after="50" w:line="230" w:lineRule="auto"/>
        <w:jc w:val="both"/>
      </w:pPr>
      <w:r>
        <w:rPr>
          <w:sz w:val="18"/>
          <w:szCs w:val="18"/>
        </w:rPr>
        <w:t>This is a literature-based review of peer-reviewed materials-science and archaeometallurgy publications, with emphasis on studies that analyse wootz ingots or blades directly using metallography, neutron diffraction and imaging, electron backscatter diffraction (EBSD) and chemical analysis. Where the record is incomplete, the text uses hedged wording such as ‘evidence suggests’ or ‘remains debated’. The scope is technological, not political, and ‘Damascus steel’ is used carefully, since crucible-patterned wootz differs from pattern-welded steel.</w:t>
      </w:r>
    </w:p>
    <w:p w14:paraId="518B868D" w14:textId="77777777" w:rsidR="00424E5C" w:rsidRDefault="00000000">
      <w:pPr>
        <w:keepNext/>
        <w:spacing w:before="90" w:after="40"/>
        <w:jc w:val="center"/>
      </w:pPr>
      <w:r>
        <w:rPr>
          <w:b/>
          <w:bCs/>
          <w:sz w:val="18"/>
          <w:szCs w:val="18"/>
        </w:rPr>
        <w:t>III. HISTORICAL BACKGROUND</w:t>
      </w:r>
    </w:p>
    <w:p w14:paraId="70B5C0A9" w14:textId="77777777" w:rsidR="00424E5C" w:rsidRDefault="00000000">
      <w:pPr>
        <w:spacing w:after="50" w:line="230" w:lineRule="auto"/>
        <w:jc w:val="both"/>
      </w:pPr>
      <w:r>
        <w:rPr>
          <w:sz w:val="18"/>
          <w:szCs w:val="18"/>
        </w:rPr>
        <w:t xml:space="preserve">India has a long ferrous tradition covering bloomery iron, carburized steel and crucible steel, documented in both texts and archaeology. Wootz should not be reduced to one invention at one date: work at </w:t>
      </w:r>
      <w:proofErr w:type="spellStart"/>
      <w:r>
        <w:rPr>
          <w:sz w:val="18"/>
          <w:szCs w:val="18"/>
        </w:rPr>
        <w:t>Junnar</w:t>
      </w:r>
      <w:proofErr w:type="spellEnd"/>
      <w:r>
        <w:rPr>
          <w:sz w:val="18"/>
          <w:szCs w:val="18"/>
        </w:rPr>
        <w:t xml:space="preserve"> shows that crucible steel has a wider chronology and that India was not the only region to develop it. In South India, Mel-</w:t>
      </w:r>
      <w:proofErr w:type="spellStart"/>
      <w:r>
        <w:rPr>
          <w:sz w:val="18"/>
          <w:szCs w:val="18"/>
        </w:rPr>
        <w:t>siruvalur</w:t>
      </w:r>
      <w:proofErr w:type="spellEnd"/>
      <w:r>
        <w:rPr>
          <w:sz w:val="18"/>
          <w:szCs w:val="18"/>
        </w:rPr>
        <w:t xml:space="preserve"> (Tamil Nadu) is a production centre, and </w:t>
      </w:r>
      <w:proofErr w:type="spellStart"/>
      <w:r>
        <w:rPr>
          <w:sz w:val="18"/>
          <w:szCs w:val="18"/>
        </w:rPr>
        <w:t>Konasamudram</w:t>
      </w:r>
      <w:proofErr w:type="spellEnd"/>
      <w:r>
        <w:rPr>
          <w:sz w:val="18"/>
          <w:szCs w:val="18"/>
        </w:rPr>
        <w:t xml:space="preserve"> (Telangana) </w:t>
      </w:r>
      <w:r>
        <w:rPr>
          <w:sz w:val="18"/>
          <w:szCs w:val="18"/>
        </w:rPr>
        <w:t>yielded a hoard of 60 ingots, 45 measured in detail. Their consistent size and shape point to organized, standardized production. Ingots then travelled through regional and international trade, so the steelmaker and the bladesmith were often different people.</w:t>
      </w:r>
    </w:p>
    <w:p w14:paraId="07AD13C0" w14:textId="77777777" w:rsidR="00424E5C" w:rsidRDefault="00000000">
      <w:pPr>
        <w:keepNext/>
        <w:spacing w:before="90" w:after="40"/>
        <w:jc w:val="center"/>
      </w:pPr>
      <w:r>
        <w:rPr>
          <w:b/>
          <w:bCs/>
          <w:sz w:val="18"/>
          <w:szCs w:val="18"/>
        </w:rPr>
        <w:t>IV. WHAT IS WOOTZ STEEL?</w:t>
      </w:r>
    </w:p>
    <w:p w14:paraId="15DB6613" w14:textId="77777777" w:rsidR="00424E5C" w:rsidRDefault="00000000">
      <w:pPr>
        <w:spacing w:after="50" w:line="230" w:lineRule="auto"/>
        <w:jc w:val="both"/>
      </w:pPr>
      <w:r>
        <w:rPr>
          <w:sz w:val="18"/>
          <w:szCs w:val="18"/>
        </w:rPr>
        <w:t xml:space="preserve">Wootz is a patterned crucible steel historically associated with South Asia. Many analysed examples are hypereutectoid, i.e. above the eutectoid carbon content, so cementite occurs alongside pearlitic matrix structures. Reported carbon levels and impurities vary between specimens, and Verhoeven discussed whether charges solidified near 1.6 </w:t>
      </w:r>
      <w:proofErr w:type="spellStart"/>
      <w:r>
        <w:rPr>
          <w:sz w:val="18"/>
          <w:szCs w:val="18"/>
        </w:rPr>
        <w:t>wt</w:t>
      </w:r>
      <w:proofErr w:type="spellEnd"/>
      <w:r>
        <w:rPr>
          <w:sz w:val="18"/>
          <w:szCs w:val="18"/>
        </w:rPr>
        <w:t>% C or started higher and were decarburized. Two distinctions matter: the ingot (crucible product) is not the finished blade (forged, heat-treated and etched), and wootz patterning arises within a single steel through solidification and processing, whereas pattern welding forge-joins different steels. Similar appearance does not imply the same mechanism.</w:t>
      </w:r>
    </w:p>
    <w:p w14:paraId="1CE798A8" w14:textId="77777777" w:rsidR="00424E5C" w:rsidRDefault="00000000">
      <w:pPr>
        <w:keepNext/>
        <w:spacing w:before="90" w:after="40"/>
        <w:jc w:val="center"/>
      </w:pPr>
      <w:r>
        <w:rPr>
          <w:b/>
          <w:bCs/>
          <w:sz w:val="18"/>
          <w:szCs w:val="18"/>
        </w:rPr>
        <w:t>V. CHARGE, CRUCIBLE AND FURNACE</w:t>
      </w:r>
    </w:p>
    <w:p w14:paraId="7BD82FE2" w14:textId="77777777" w:rsidR="00424E5C" w:rsidRDefault="00000000">
      <w:pPr>
        <w:spacing w:after="50" w:line="230" w:lineRule="auto"/>
        <w:jc w:val="both"/>
      </w:pPr>
      <w:r>
        <w:rPr>
          <w:sz w:val="18"/>
          <w:szCs w:val="18"/>
        </w:rPr>
        <w:t xml:space="preserve">The charge combined wrought or bloomery iron with a carbon-bearing material and selected plant matter; recipes varied and written descriptions are incomplete. Feedstock phosphorus, </w:t>
      </w:r>
      <w:proofErr w:type="spellStart"/>
      <w:r>
        <w:rPr>
          <w:sz w:val="18"/>
          <w:szCs w:val="18"/>
        </w:rPr>
        <w:t>sulfur</w:t>
      </w:r>
      <w:proofErr w:type="spellEnd"/>
      <w:r>
        <w:rPr>
          <w:sz w:val="18"/>
          <w:szCs w:val="18"/>
        </w:rPr>
        <w:t xml:space="preserve"> and trace elements affect melting, hot workability and final properties, and trace carbide formers (V, Cr, Ti) strongly influence cementite banding. This does not mean smiths measured ppm levels; it shows how natural impurities became technologically important. Ceramic crucibles had to resist high temperature and thermal shock while isolating the charge from the atmosphere. The furnace–crucible system acts as a coupled thermal and chemical reactor, and since temperature and carbon activity could not be measured, control rested on accumulated empirical knowledge.</w:t>
      </w:r>
    </w:p>
    <w:p w14:paraId="2FB1DC8D" w14:textId="77777777" w:rsidR="00424E5C" w:rsidRDefault="00000000">
      <w:pPr>
        <w:keepNext/>
        <w:spacing w:before="90" w:after="40"/>
        <w:jc w:val="center"/>
      </w:pPr>
      <w:r>
        <w:rPr>
          <w:b/>
          <w:bCs/>
          <w:sz w:val="18"/>
          <w:szCs w:val="18"/>
        </w:rPr>
        <w:t>VI. CARBURIZATION, SOLIDIFICATION AND MICROSTRUCTURE</w:t>
      </w:r>
    </w:p>
    <w:p w14:paraId="5566D2FB" w14:textId="77777777" w:rsidR="00424E5C" w:rsidRDefault="00000000">
      <w:pPr>
        <w:spacing w:after="50" w:line="230" w:lineRule="auto"/>
        <w:jc w:val="both"/>
      </w:pPr>
      <w:r>
        <w:rPr>
          <w:sz w:val="18"/>
          <w:szCs w:val="18"/>
        </w:rPr>
        <w:t xml:space="preserve">Austenite dissolves far more carbon than ferrite, and the iron–carbon diagram (ferrite, austenite, cementite, pearlite, liquid) supplies the conceptual framework, although real wootz also contains Mn, Si, P, S and trace elements. ‘More carbon’ is not simply better: excess carbide reduces toughness and hinders forging, while decarburization pushes composition the other way, so a usable composition window is needed. On solidification the first crystals differ in composition from the liquid, causing </w:t>
      </w:r>
      <w:proofErr w:type="spellStart"/>
      <w:r>
        <w:rPr>
          <w:sz w:val="18"/>
          <w:szCs w:val="18"/>
        </w:rPr>
        <w:t>microsegregation</w:t>
      </w:r>
      <w:proofErr w:type="spellEnd"/>
      <w:r>
        <w:rPr>
          <w:sz w:val="18"/>
          <w:szCs w:val="18"/>
        </w:rPr>
        <w:t xml:space="preserve"> between dendrites; slow cooling favours coarse carbides. Cementite (</w:t>
      </w:r>
      <w:proofErr w:type="spellStart"/>
      <w:r>
        <w:rPr>
          <w:sz w:val="18"/>
          <w:szCs w:val="18"/>
        </w:rPr>
        <w:t>Fe₃C</w:t>
      </w:r>
      <w:proofErr w:type="spellEnd"/>
      <w:r>
        <w:rPr>
          <w:sz w:val="18"/>
          <w:szCs w:val="18"/>
        </w:rPr>
        <w:t>) is the key phase. EBSD of ancient blades identifies bulky carbides, proeutectoid carbide at prior-austenite grain boundaries and fine spheroidized carbides, and coarse bands can trace back to large particles formed as the ingot cooled. The pattern is thus a processing fingerprint: two ingots of equal average carbon can differ if segregation and trace chemistry differ.</w:t>
      </w:r>
    </w:p>
    <w:p w14:paraId="64B8C524" w14:textId="77777777" w:rsidR="00424E5C" w:rsidRDefault="00000000">
      <w:pPr>
        <w:keepNext/>
        <w:spacing w:before="90" w:after="40"/>
        <w:jc w:val="center"/>
      </w:pPr>
      <w:r>
        <w:rPr>
          <w:b/>
          <w:bCs/>
          <w:sz w:val="18"/>
          <w:szCs w:val="18"/>
        </w:rPr>
        <w:t>VII. FORGING AND THE DAMASCUS PATTERN</w:t>
      </w:r>
    </w:p>
    <w:p w14:paraId="1F6FEDBE" w14:textId="77777777" w:rsidR="00424E5C" w:rsidRDefault="00000000">
      <w:pPr>
        <w:spacing w:after="50" w:line="230" w:lineRule="auto"/>
        <w:jc w:val="both"/>
      </w:pPr>
      <w:r>
        <w:rPr>
          <w:sz w:val="18"/>
          <w:szCs w:val="18"/>
        </w:rPr>
        <w:t xml:space="preserve">Forging shapes the ingot and modifies its carbides. Hot-workability is limited, so excessive temperature can dissolve the carbide structure while poor temperature or deformation causes cracking. Verhoeven, </w:t>
      </w:r>
      <w:proofErr w:type="spellStart"/>
      <w:r>
        <w:rPr>
          <w:sz w:val="18"/>
          <w:szCs w:val="18"/>
        </w:rPr>
        <w:t>Pendray</w:t>
      </w:r>
      <w:proofErr w:type="spellEnd"/>
      <w:r>
        <w:rPr>
          <w:sz w:val="18"/>
          <w:szCs w:val="18"/>
        </w:rPr>
        <w:t xml:space="preserve"> and co-workers reproduced genuine-looking patterns by forging small crucible ingots, and found hot shortness and graphitization to be real obstacles, which implies a narrow forging window. Repeated thermal cycling selectively coarsens cementite </w:t>
      </w:r>
      <w:r>
        <w:rPr>
          <w:sz w:val="18"/>
          <w:szCs w:val="18"/>
        </w:rPr>
        <w:lastRenderedPageBreak/>
        <w:t>while deformation stretches and aligns it, and very small amounts of V, Cr or Ti promote banding. Even so, no single trace element is a universal ‘secret of Damascus steel’: ingots came from different ores and centres, and the pattern depends on composition, solidification, cycling and deformation together.</w:t>
      </w:r>
    </w:p>
    <w:p w14:paraId="24004893" w14:textId="77777777" w:rsidR="00424E5C" w:rsidRDefault="00000000">
      <w:pPr>
        <w:keepNext/>
        <w:spacing w:before="90" w:after="40"/>
        <w:jc w:val="center"/>
      </w:pPr>
      <w:r>
        <w:rPr>
          <w:b/>
          <w:bCs/>
          <w:sz w:val="18"/>
          <w:szCs w:val="18"/>
        </w:rPr>
        <w:t>VIII. MECHANICAL PROPERTIES</w:t>
      </w:r>
    </w:p>
    <w:p w14:paraId="39ECEBDF" w14:textId="77777777" w:rsidR="00424E5C" w:rsidRDefault="00000000">
      <w:pPr>
        <w:spacing w:after="50" w:line="230" w:lineRule="auto"/>
        <w:jc w:val="both"/>
      </w:pPr>
      <w:r>
        <w:rPr>
          <w:sz w:val="18"/>
          <w:szCs w:val="18"/>
        </w:rPr>
        <w:t>Properties must be discussed cautiously because specimens vary. High carbon gives hardness and wear resistance, while excess carbide or phosphorus lowers toughness, and carbide distribution matters as much as quantity. Reconstruction experiments show that banding can aid edge retention but does not guarantee superior performance, and more uniform carbide distributions sometimes give better toughness. The claim that wootz was ‘both extremely hard and extremely tough’ is therefore too broad without specifying composition and processing.</w:t>
      </w:r>
    </w:p>
    <w:p w14:paraId="512193E4" w14:textId="77777777" w:rsidR="00424E5C" w:rsidRDefault="00000000">
      <w:pPr>
        <w:keepNext/>
        <w:spacing w:before="90" w:after="40"/>
        <w:jc w:val="center"/>
      </w:pPr>
      <w:r>
        <w:rPr>
          <w:b/>
          <w:bCs/>
          <w:sz w:val="18"/>
          <w:szCs w:val="18"/>
        </w:rPr>
        <w:t>IX. ANALYTICAL METHODS</w:t>
      </w:r>
    </w:p>
    <w:p w14:paraId="10336F6B" w14:textId="77777777" w:rsidR="00424E5C" w:rsidRDefault="00000000">
      <w:pPr>
        <w:spacing w:after="50" w:line="230" w:lineRule="auto"/>
        <w:jc w:val="both"/>
      </w:pPr>
      <w:r>
        <w:rPr>
          <w:sz w:val="18"/>
          <w:szCs w:val="18"/>
        </w:rPr>
        <w:t>Optical metallography and SEM/EDS reveal phases, carbide morphology and elements; EBSD gives crystallographic orientation and cementite texture; neutron diffraction and imaging penetrate thick metal and characterize ferrite and cementite non-destructively, which suits heritage objects. Bulk methods (OES, XRF, mass spectrometry) give composition, but corrosion and decarburization distort near-surface carbon. Composition alone cannot prove that an object is wootz, so microstructure, chemistry, tool marks, provenance and historical comparison must be combined.</w:t>
      </w:r>
    </w:p>
    <w:tbl>
      <w:tblPr>
        <w:tblW w:w="3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140"/>
      </w:tblGrid>
      <w:tr w:rsidR="00424E5C" w14:paraId="28EB12C1"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tcPr>
          <w:p w14:paraId="20460A54" w14:textId="77777777" w:rsidR="00424E5C" w:rsidRDefault="00000000">
            <w:r>
              <w:rPr>
                <w:b/>
                <w:bCs/>
                <w:sz w:val="15"/>
                <w:szCs w:val="15"/>
              </w:rPr>
              <w:t>Evidence</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tcPr>
          <w:p w14:paraId="3A0703AB" w14:textId="77777777" w:rsidR="00424E5C" w:rsidRDefault="00000000">
            <w:r>
              <w:rPr>
                <w:b/>
                <w:bCs/>
                <w:sz w:val="15"/>
                <w:szCs w:val="15"/>
              </w:rPr>
              <w:t>What it can show</w:t>
            </w:r>
          </w:p>
        </w:tc>
        <w:tc>
          <w:tcPr>
            <w:tcW w:w="114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tcPr>
          <w:p w14:paraId="3A249814" w14:textId="77777777" w:rsidR="00424E5C" w:rsidRDefault="00000000">
            <w:r>
              <w:rPr>
                <w:b/>
                <w:bCs/>
                <w:sz w:val="15"/>
                <w:szCs w:val="15"/>
              </w:rPr>
              <w:t>Main limitation</w:t>
            </w:r>
          </w:p>
        </w:tc>
      </w:tr>
      <w:tr w:rsidR="00424E5C" w14:paraId="66D1A4DB"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D3B47A2" w14:textId="77777777" w:rsidR="00424E5C" w:rsidRDefault="00000000">
            <w:r>
              <w:rPr>
                <w:sz w:val="15"/>
                <w:szCs w:val="15"/>
              </w:rPr>
              <w:t>Archaeological remains</w:t>
            </w:r>
          </w:p>
        </w:tc>
        <w:tc>
          <w:tcPr>
            <w:tcW w:w="14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63803AB" w14:textId="77777777" w:rsidR="00424E5C" w:rsidRDefault="00000000">
            <w:r>
              <w:rPr>
                <w:sz w:val="15"/>
                <w:szCs w:val="15"/>
              </w:rPr>
              <w:t>Production context, process traces</w:t>
            </w:r>
          </w:p>
        </w:tc>
        <w:tc>
          <w:tcPr>
            <w:tcW w:w="1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DF18D96" w14:textId="77777777" w:rsidR="00424E5C" w:rsidRDefault="00000000">
            <w:r>
              <w:rPr>
                <w:sz w:val="15"/>
                <w:szCs w:val="15"/>
              </w:rPr>
              <w:t>Incomplete survival</w:t>
            </w:r>
          </w:p>
        </w:tc>
      </w:tr>
      <w:tr w:rsidR="00424E5C" w14:paraId="52FA5E29"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3AE5F05" w14:textId="77777777" w:rsidR="00424E5C" w:rsidRDefault="00000000">
            <w:r>
              <w:rPr>
                <w:sz w:val="15"/>
                <w:szCs w:val="15"/>
              </w:rPr>
              <w:t>Microstructure</w:t>
            </w:r>
          </w:p>
        </w:tc>
        <w:tc>
          <w:tcPr>
            <w:tcW w:w="14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3800727" w14:textId="77777777" w:rsidR="00424E5C" w:rsidRDefault="00000000">
            <w:r>
              <w:rPr>
                <w:sz w:val="15"/>
                <w:szCs w:val="15"/>
              </w:rPr>
              <w:t>Thermal and deformation history</w:t>
            </w:r>
          </w:p>
        </w:tc>
        <w:tc>
          <w:tcPr>
            <w:tcW w:w="1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19F2FD3" w14:textId="77777777" w:rsidR="00424E5C" w:rsidRDefault="00000000">
            <w:r>
              <w:rPr>
                <w:sz w:val="15"/>
                <w:szCs w:val="15"/>
              </w:rPr>
              <w:t>Needs careful interpretation</w:t>
            </w:r>
          </w:p>
        </w:tc>
      </w:tr>
      <w:tr w:rsidR="00424E5C" w14:paraId="69B83198"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9FB20B0" w14:textId="77777777" w:rsidR="00424E5C" w:rsidRDefault="00000000">
            <w:r>
              <w:rPr>
                <w:sz w:val="15"/>
                <w:szCs w:val="15"/>
              </w:rPr>
              <w:t>Chemical composition</w:t>
            </w:r>
          </w:p>
        </w:tc>
        <w:tc>
          <w:tcPr>
            <w:tcW w:w="14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221E46A" w14:textId="77777777" w:rsidR="00424E5C" w:rsidRDefault="00000000">
            <w:r>
              <w:rPr>
                <w:sz w:val="15"/>
                <w:szCs w:val="15"/>
              </w:rPr>
              <w:t>Feedstock and alloying clues</w:t>
            </w:r>
          </w:p>
        </w:tc>
        <w:tc>
          <w:tcPr>
            <w:tcW w:w="1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944A69A" w14:textId="77777777" w:rsidR="00424E5C" w:rsidRDefault="00000000">
            <w:r>
              <w:rPr>
                <w:sz w:val="15"/>
                <w:szCs w:val="15"/>
              </w:rPr>
              <w:t>Sampling, contamination</w:t>
            </w:r>
          </w:p>
        </w:tc>
      </w:tr>
    </w:tbl>
    <w:p w14:paraId="5A537147" w14:textId="77777777" w:rsidR="00424E5C" w:rsidRDefault="00000000">
      <w:pPr>
        <w:spacing w:before="20" w:after="80"/>
        <w:jc w:val="center"/>
      </w:pPr>
      <w:r>
        <w:rPr>
          <w:sz w:val="14"/>
          <w:szCs w:val="14"/>
        </w:rPr>
        <w:t>TABLE I. Evidence types in wootz studies</w:t>
      </w:r>
    </w:p>
    <w:p w14:paraId="4E2DA18F" w14:textId="77777777" w:rsidR="00424E5C" w:rsidRDefault="00000000">
      <w:pPr>
        <w:keepNext/>
        <w:spacing w:before="90" w:after="40"/>
        <w:jc w:val="center"/>
      </w:pPr>
      <w:r>
        <w:rPr>
          <w:b/>
          <w:bCs/>
          <w:sz w:val="18"/>
          <w:szCs w:val="18"/>
        </w:rPr>
        <w:t>X. TRADE, DECLINE AND MODERN COMPARISON</w:t>
      </w:r>
    </w:p>
    <w:p w14:paraId="479BD2F3" w14:textId="77777777" w:rsidR="00424E5C" w:rsidRDefault="00000000">
      <w:pPr>
        <w:spacing w:after="50" w:line="230" w:lineRule="auto"/>
        <w:jc w:val="both"/>
      </w:pPr>
      <w:r>
        <w:rPr>
          <w:sz w:val="18"/>
          <w:szCs w:val="18"/>
        </w:rPr>
        <w:t>Compact, high-value ingots travelled farther than finished weapons, giving a distributed chain in which local smiths supplied the forging knowledge. The link to Damascus is well supported for some blades but not for every blade so named, since others were pattern-welded. Decline was gradual: cheaper, consistent industrial steel, changing weapon demand and colonial disruption of craft networks made a sophisticated process commercially unsustainable, and tacit knowledge (judging heat by colour, choosing feedstock) was lost with it. Modern reconstructions show physical plausibility, not the exact historical recipe. Modern steelmaking far exceeds wootz in scale, cleanliness and consistency, but wootz shows that empirical craft practice achieved real process control, and that composition and processing determine structure, and structure determines properties.</w:t>
      </w:r>
    </w:p>
    <w:p w14:paraId="3FF8929D" w14:textId="77777777" w:rsidR="00424E5C" w:rsidRDefault="00000000">
      <w:pPr>
        <w:keepNext/>
        <w:spacing w:before="90" w:after="40"/>
        <w:jc w:val="center"/>
      </w:pPr>
      <w:r>
        <w:rPr>
          <w:b/>
          <w:bCs/>
          <w:sz w:val="18"/>
          <w:szCs w:val="18"/>
        </w:rPr>
        <w:t>XI. BROADER RELEVANCE</w:t>
      </w:r>
    </w:p>
    <w:p w14:paraId="3E1D5ED0" w14:textId="77777777" w:rsidR="00424E5C" w:rsidRDefault="00000000">
      <w:pPr>
        <w:spacing w:after="50" w:line="230" w:lineRule="auto"/>
        <w:jc w:val="both"/>
      </w:pPr>
      <w:r>
        <w:rPr>
          <w:sz w:val="18"/>
          <w:szCs w:val="18"/>
        </w:rPr>
        <w:t>Wootz illustrates the processing–structure–property framework, the sensitivity of microstructure to trace elements and the importance of thermal history. Traditional metallurgy should not be labelled sustainable by default, since charcoal and ore extraction consumed resources, yet small-batch production, local sourcing and long product life inform circular-economy thinking, and knowing a blade’s carbide banding guides museum conservation. As a teaching example it links thermodynamics, phase transformations, microscopy and scepticism about evidence, and it supports computational projects such as image analysis of carbide-band spacing, machine-learning classification of microstructures and thermal simulation.</w:t>
      </w:r>
    </w:p>
    <w:p w14:paraId="07CB19DF" w14:textId="77777777" w:rsidR="00424E5C" w:rsidRDefault="00000000">
      <w:pPr>
        <w:keepNext/>
        <w:spacing w:before="90" w:after="40"/>
        <w:jc w:val="center"/>
      </w:pPr>
      <w:r>
        <w:rPr>
          <w:b/>
          <w:bCs/>
          <w:sz w:val="18"/>
          <w:szCs w:val="18"/>
        </w:rPr>
        <w:t>XII. LIMITATIONS AND PROPOSED FRAMEWORK</w:t>
      </w:r>
    </w:p>
    <w:p w14:paraId="15AC3E5B" w14:textId="77777777" w:rsidR="00424E5C" w:rsidRDefault="00000000">
      <w:pPr>
        <w:spacing w:after="50" w:line="230" w:lineRule="auto"/>
        <w:jc w:val="both"/>
      </w:pPr>
      <w:r>
        <w:rPr>
          <w:sz w:val="18"/>
          <w:szCs w:val="18"/>
        </w:rPr>
        <w:t xml:space="preserve">Surviving ingots are few, many artefacts cannot be sampled, historical names are inconsistent, and similar microstructures do not prove cultural transmission because crucible steel may have arisen independently. Individual workshop recipes remain uncertain. A staged study is proposed: (1) provenance and documentation; (2) non-destructive imaging; (3) microstructural characterization; (4) major and trace chemical analysis; (5) comparison with reference wootz; (6) process reconstruction using thermodynamics and experiment; and (7) uncertainty assessment, labelling each inference as observation, </w:t>
      </w:r>
      <w:r>
        <w:rPr>
          <w:sz w:val="18"/>
          <w:szCs w:val="18"/>
        </w:rPr>
        <w:t>established mechanism, plausible reconstruction or speculation. Future work should expand non-destructive analysis of museum collections, build open composition and microstructure databases, and study production waste and ingot hoards.</w:t>
      </w:r>
    </w:p>
    <w:p w14:paraId="0BE0E155" w14:textId="77777777" w:rsidR="00424E5C" w:rsidRDefault="00000000">
      <w:pPr>
        <w:keepNext/>
        <w:spacing w:before="90" w:after="40"/>
        <w:jc w:val="center"/>
      </w:pPr>
      <w:r>
        <w:rPr>
          <w:b/>
          <w:bCs/>
          <w:sz w:val="18"/>
          <w:szCs w:val="18"/>
        </w:rPr>
        <w:t>XIII. CONCLUSION</w:t>
      </w:r>
    </w:p>
    <w:p w14:paraId="4D313D2A" w14:textId="77777777" w:rsidR="00424E5C" w:rsidRDefault="00000000">
      <w:pPr>
        <w:spacing w:after="50" w:line="230" w:lineRule="auto"/>
        <w:jc w:val="both"/>
      </w:pPr>
      <w:r>
        <w:rPr>
          <w:sz w:val="18"/>
          <w:szCs w:val="18"/>
        </w:rPr>
        <w:t xml:space="preserve">Wootz steel is an important chapter in Indian metallurgy and in materials science. Archaeological, historical and laboratory evidence together show deliberate control of feedstock, carbon, heat, melting, solidification and forging. Its most significant feature is the link between processing and microstructure: high carbon, </w:t>
      </w:r>
      <w:proofErr w:type="spellStart"/>
      <w:r>
        <w:rPr>
          <w:sz w:val="18"/>
          <w:szCs w:val="18"/>
        </w:rPr>
        <w:t>microsegregation</w:t>
      </w:r>
      <w:proofErr w:type="spellEnd"/>
      <w:r>
        <w:rPr>
          <w:sz w:val="18"/>
          <w:szCs w:val="18"/>
        </w:rPr>
        <w:t>, slow cooling and thermal cycling produce cementite-rich structures that appear as patterns in forged blades. The evidence supports neither a single universal recipe nor the claim that wootz surpasses all modern steel. It should instead be valued as a sophisticated technology whose producers achieved repeatable material control through practical knowledge.</w:t>
      </w:r>
    </w:p>
    <w:p w14:paraId="75045271" w14:textId="77777777" w:rsidR="00424E5C" w:rsidRDefault="00000000">
      <w:pPr>
        <w:keepNext/>
        <w:spacing w:before="90" w:after="40"/>
        <w:jc w:val="center"/>
      </w:pPr>
      <w:r>
        <w:rPr>
          <w:b/>
          <w:bCs/>
          <w:sz w:val="18"/>
          <w:szCs w:val="18"/>
        </w:rPr>
        <w:t>REFERENCES</w:t>
      </w:r>
    </w:p>
    <w:p w14:paraId="41DB9F41" w14:textId="77777777" w:rsidR="00424E5C" w:rsidRDefault="00000000">
      <w:pPr>
        <w:spacing w:after="10" w:line="206" w:lineRule="auto"/>
        <w:ind w:left="320" w:hanging="320"/>
        <w:jc w:val="both"/>
      </w:pPr>
      <w:r>
        <w:rPr>
          <w:sz w:val="14"/>
          <w:szCs w:val="14"/>
        </w:rPr>
        <w:t>[1]</w:t>
      </w:r>
      <w:r>
        <w:rPr>
          <w:sz w:val="14"/>
          <w:szCs w:val="14"/>
        </w:rPr>
        <w:tab/>
        <w:t>J. D. Verhoeven, “Damascus steel, part I: Indian wootz steel,” Metallography, vol. 20, no. 2, pp. 145–151, 1987.</w:t>
      </w:r>
    </w:p>
    <w:p w14:paraId="2179512A" w14:textId="77777777" w:rsidR="00424E5C" w:rsidRDefault="00000000">
      <w:pPr>
        <w:spacing w:after="10" w:line="206" w:lineRule="auto"/>
        <w:ind w:left="320" w:hanging="320"/>
        <w:jc w:val="both"/>
      </w:pPr>
      <w:r>
        <w:rPr>
          <w:sz w:val="14"/>
          <w:szCs w:val="14"/>
        </w:rPr>
        <w:t>[2]</w:t>
      </w:r>
      <w:r>
        <w:rPr>
          <w:sz w:val="14"/>
          <w:szCs w:val="14"/>
        </w:rPr>
        <w:tab/>
        <w:t xml:space="preserve">J. D. Verhoeven, A. H. </w:t>
      </w:r>
      <w:proofErr w:type="spellStart"/>
      <w:r>
        <w:rPr>
          <w:sz w:val="14"/>
          <w:szCs w:val="14"/>
        </w:rPr>
        <w:t>Pendray</w:t>
      </w:r>
      <w:proofErr w:type="spellEnd"/>
      <w:r>
        <w:rPr>
          <w:sz w:val="14"/>
          <w:szCs w:val="14"/>
        </w:rPr>
        <w:t>, and E. D. Gibson, “Wootz Damascus steel blades,” Mater. Charact., vol. 37, no. 1, pp. 9–22, 1996.</w:t>
      </w:r>
    </w:p>
    <w:p w14:paraId="462B75D9" w14:textId="77777777" w:rsidR="00424E5C" w:rsidRDefault="00000000">
      <w:pPr>
        <w:spacing w:after="10" w:line="206" w:lineRule="auto"/>
        <w:ind w:left="320" w:hanging="320"/>
        <w:jc w:val="both"/>
      </w:pPr>
      <w:r>
        <w:rPr>
          <w:sz w:val="14"/>
          <w:szCs w:val="14"/>
        </w:rPr>
        <w:t>[3]</w:t>
      </w:r>
      <w:r>
        <w:rPr>
          <w:sz w:val="14"/>
          <w:szCs w:val="14"/>
        </w:rPr>
        <w:tab/>
        <w:t xml:space="preserve">J. D. Verhoeven and A. H. </w:t>
      </w:r>
      <w:proofErr w:type="spellStart"/>
      <w:r>
        <w:rPr>
          <w:sz w:val="14"/>
          <w:szCs w:val="14"/>
        </w:rPr>
        <w:t>Pendray</w:t>
      </w:r>
      <w:proofErr w:type="spellEnd"/>
      <w:r>
        <w:rPr>
          <w:sz w:val="14"/>
          <w:szCs w:val="14"/>
        </w:rPr>
        <w:t>, “Experiments to reproduce the pattern of Damascus steel blades,” Mater. Charact., vol. 29, no. 2, pp. 195–212, 1992.</w:t>
      </w:r>
    </w:p>
    <w:p w14:paraId="0C54EB83" w14:textId="77777777" w:rsidR="00424E5C" w:rsidRDefault="00000000">
      <w:pPr>
        <w:spacing w:after="10" w:line="206" w:lineRule="auto"/>
        <w:ind w:left="320" w:hanging="320"/>
        <w:jc w:val="both"/>
      </w:pPr>
      <w:r>
        <w:rPr>
          <w:sz w:val="14"/>
          <w:szCs w:val="14"/>
        </w:rPr>
        <w:t>[4]</w:t>
      </w:r>
      <w:r>
        <w:rPr>
          <w:sz w:val="14"/>
          <w:szCs w:val="14"/>
        </w:rPr>
        <w:tab/>
        <w:t xml:space="preserve">J. D. Verhoeven and A. H. </w:t>
      </w:r>
      <w:proofErr w:type="spellStart"/>
      <w:r>
        <w:rPr>
          <w:sz w:val="14"/>
          <w:szCs w:val="14"/>
        </w:rPr>
        <w:t>Pendray</w:t>
      </w:r>
      <w:proofErr w:type="spellEnd"/>
      <w:r>
        <w:rPr>
          <w:sz w:val="14"/>
          <w:szCs w:val="14"/>
        </w:rPr>
        <w:t>, “Studies of Damascus steel blades: Part 1,” Mater. Charact., vol. 30, no. 3, pp. 175–186, 1993.</w:t>
      </w:r>
    </w:p>
    <w:p w14:paraId="30DBC6B9" w14:textId="77777777" w:rsidR="00424E5C" w:rsidRDefault="00000000">
      <w:pPr>
        <w:spacing w:after="10" w:line="206" w:lineRule="auto"/>
        <w:ind w:left="320" w:hanging="320"/>
        <w:jc w:val="both"/>
      </w:pPr>
      <w:r>
        <w:rPr>
          <w:sz w:val="14"/>
          <w:szCs w:val="14"/>
        </w:rPr>
        <w:t>[5]</w:t>
      </w:r>
      <w:r>
        <w:rPr>
          <w:sz w:val="14"/>
          <w:szCs w:val="14"/>
        </w:rPr>
        <w:tab/>
        <w:t>M. R. Barnett, A. Sullivan, and R. Balasubramaniam, “EBSD analysis of an ancient wootz steel blade from central India,” Mater. Charact., vol. 60, no. 4, pp. 252–260, 2009.</w:t>
      </w:r>
    </w:p>
    <w:p w14:paraId="7A6381A4" w14:textId="77777777" w:rsidR="00424E5C" w:rsidRDefault="00000000">
      <w:pPr>
        <w:spacing w:after="10" w:line="206" w:lineRule="auto"/>
        <w:ind w:left="320" w:hanging="320"/>
        <w:jc w:val="both"/>
      </w:pPr>
      <w:r>
        <w:rPr>
          <w:sz w:val="14"/>
          <w:szCs w:val="14"/>
        </w:rPr>
        <w:t>[6]</w:t>
      </w:r>
      <w:r>
        <w:rPr>
          <w:sz w:val="14"/>
          <w:szCs w:val="14"/>
        </w:rPr>
        <w:tab/>
        <w:t xml:space="preserve">F. Salvemini et al., “Neutron imaging methods to identify microstructural features in ancient Indian swords and armour,” </w:t>
      </w:r>
      <w:proofErr w:type="spellStart"/>
      <w:r>
        <w:rPr>
          <w:sz w:val="14"/>
          <w:szCs w:val="14"/>
        </w:rPr>
        <w:t>Microchem</w:t>
      </w:r>
      <w:proofErr w:type="spellEnd"/>
      <w:r>
        <w:rPr>
          <w:sz w:val="14"/>
          <w:szCs w:val="14"/>
        </w:rPr>
        <w:t>. J., vol. 159, 105397, 2020.</w:t>
      </w:r>
    </w:p>
    <w:p w14:paraId="567179FF" w14:textId="77777777" w:rsidR="00424E5C" w:rsidRDefault="00000000">
      <w:pPr>
        <w:spacing w:after="10" w:line="206" w:lineRule="auto"/>
        <w:ind w:left="320" w:hanging="320"/>
        <w:jc w:val="both"/>
      </w:pPr>
      <w:r>
        <w:rPr>
          <w:sz w:val="14"/>
          <w:szCs w:val="14"/>
        </w:rPr>
        <w:t>[7]</w:t>
      </w:r>
      <w:r>
        <w:rPr>
          <w:sz w:val="14"/>
          <w:szCs w:val="14"/>
        </w:rPr>
        <w:tab/>
        <w:t xml:space="preserve">F. Salvemini et al., “Determination of the manufacturing methods of Indian swords through neutron diffraction,” </w:t>
      </w:r>
      <w:proofErr w:type="spellStart"/>
      <w:r>
        <w:rPr>
          <w:sz w:val="14"/>
          <w:szCs w:val="14"/>
        </w:rPr>
        <w:t>Microchem</w:t>
      </w:r>
      <w:proofErr w:type="spellEnd"/>
      <w:r>
        <w:rPr>
          <w:sz w:val="14"/>
          <w:szCs w:val="14"/>
        </w:rPr>
        <w:t>. J., 2016.</w:t>
      </w:r>
    </w:p>
    <w:p w14:paraId="5A620A92" w14:textId="77777777" w:rsidR="00424E5C" w:rsidRDefault="00000000">
      <w:pPr>
        <w:spacing w:after="10" w:line="206" w:lineRule="auto"/>
        <w:ind w:left="320" w:hanging="320"/>
        <w:jc w:val="both"/>
      </w:pPr>
      <w:r>
        <w:rPr>
          <w:sz w:val="14"/>
          <w:szCs w:val="14"/>
        </w:rPr>
        <w:t>[8]</w:t>
      </w:r>
      <w:r>
        <w:rPr>
          <w:sz w:val="14"/>
          <w:szCs w:val="14"/>
        </w:rPr>
        <w:tab/>
        <w:t>J. Perttula, “Wootz Damascus steel of ancient orient,” Scand. J. Metall., vol. 33, no. 2, pp. 92–97, 2004.</w:t>
      </w:r>
    </w:p>
    <w:p w14:paraId="7E3C6232" w14:textId="77777777" w:rsidR="00424E5C" w:rsidRDefault="00000000">
      <w:pPr>
        <w:spacing w:after="10" w:line="206" w:lineRule="auto"/>
        <w:ind w:left="320" w:hanging="320"/>
        <w:jc w:val="both"/>
      </w:pPr>
      <w:r>
        <w:rPr>
          <w:sz w:val="14"/>
          <w:szCs w:val="14"/>
        </w:rPr>
        <w:t>[9]</w:t>
      </w:r>
      <w:r>
        <w:rPr>
          <w:sz w:val="14"/>
          <w:szCs w:val="14"/>
        </w:rPr>
        <w:tab/>
        <w:t xml:space="preserve">A. Feuerbach, “Crucible </w:t>
      </w:r>
      <w:proofErr w:type="spellStart"/>
      <w:r>
        <w:rPr>
          <w:sz w:val="14"/>
          <w:szCs w:val="14"/>
        </w:rPr>
        <w:t>damascus</w:t>
      </w:r>
      <w:proofErr w:type="spellEnd"/>
      <w:r>
        <w:rPr>
          <w:sz w:val="14"/>
          <w:szCs w:val="14"/>
        </w:rPr>
        <w:t xml:space="preserve"> steel: A fascination for almost 2,000 years,” JOM, vol. 58, pp. 48–50, 2006.</w:t>
      </w:r>
    </w:p>
    <w:p w14:paraId="6D900C3A" w14:textId="77777777" w:rsidR="00424E5C" w:rsidRDefault="00000000">
      <w:pPr>
        <w:spacing w:after="10" w:line="206" w:lineRule="auto"/>
        <w:ind w:left="320" w:hanging="320"/>
        <w:jc w:val="both"/>
      </w:pPr>
      <w:r>
        <w:rPr>
          <w:sz w:val="14"/>
          <w:szCs w:val="14"/>
        </w:rPr>
        <w:t>[10]</w:t>
      </w:r>
      <w:r>
        <w:rPr>
          <w:sz w:val="14"/>
          <w:szCs w:val="14"/>
        </w:rPr>
        <w:tab/>
        <w:t xml:space="preserve">S. Srinivasan, “Wootz crucible steel: A newly discovered production site in South India,” Pap. Inst. </w:t>
      </w:r>
      <w:proofErr w:type="spellStart"/>
      <w:r>
        <w:rPr>
          <w:sz w:val="14"/>
          <w:szCs w:val="14"/>
        </w:rPr>
        <w:t>Archaeol</w:t>
      </w:r>
      <w:proofErr w:type="spellEnd"/>
      <w:r>
        <w:rPr>
          <w:sz w:val="14"/>
          <w:szCs w:val="14"/>
        </w:rPr>
        <w:t>., vol. 5, no. 1, pp. 49–59, 1994.</w:t>
      </w:r>
    </w:p>
    <w:p w14:paraId="4A31F4D9" w14:textId="77777777" w:rsidR="00424E5C" w:rsidRDefault="00000000">
      <w:pPr>
        <w:spacing w:after="10" w:line="206" w:lineRule="auto"/>
        <w:ind w:left="320" w:hanging="320"/>
        <w:jc w:val="both"/>
      </w:pPr>
      <w:r>
        <w:rPr>
          <w:sz w:val="14"/>
          <w:szCs w:val="14"/>
        </w:rPr>
        <w:t>[11]</w:t>
      </w:r>
      <w:r>
        <w:rPr>
          <w:sz w:val="14"/>
          <w:szCs w:val="14"/>
        </w:rPr>
        <w:tab/>
        <w:t xml:space="preserve">S. Jaikishan, M. Desai, and T. </w:t>
      </w:r>
      <w:proofErr w:type="spellStart"/>
      <w:r>
        <w:rPr>
          <w:sz w:val="14"/>
          <w:szCs w:val="14"/>
        </w:rPr>
        <w:t>Rehren</w:t>
      </w:r>
      <w:proofErr w:type="spellEnd"/>
      <w:r>
        <w:rPr>
          <w:sz w:val="14"/>
          <w:szCs w:val="14"/>
        </w:rPr>
        <w:t xml:space="preserve">, “A journey of over 200 years: early studies on wootz ingots and new evidence from </w:t>
      </w:r>
      <w:proofErr w:type="spellStart"/>
      <w:r>
        <w:rPr>
          <w:sz w:val="14"/>
          <w:szCs w:val="14"/>
        </w:rPr>
        <w:t>Konasamudram</w:t>
      </w:r>
      <w:proofErr w:type="spellEnd"/>
      <w:r>
        <w:rPr>
          <w:sz w:val="14"/>
          <w:szCs w:val="14"/>
        </w:rPr>
        <w:t xml:space="preserve">,” Adv. </w:t>
      </w:r>
      <w:proofErr w:type="spellStart"/>
      <w:r>
        <w:rPr>
          <w:sz w:val="14"/>
          <w:szCs w:val="14"/>
        </w:rPr>
        <w:t>Archaeomater</w:t>
      </w:r>
      <w:proofErr w:type="spellEnd"/>
      <w:r>
        <w:rPr>
          <w:sz w:val="14"/>
          <w:szCs w:val="14"/>
        </w:rPr>
        <w:t>., vol. 2, no. 1, pp. 15–23, 2021.</w:t>
      </w:r>
    </w:p>
    <w:p w14:paraId="798AF255" w14:textId="77777777" w:rsidR="00424E5C" w:rsidRDefault="00000000">
      <w:pPr>
        <w:spacing w:after="10" w:line="206" w:lineRule="auto"/>
        <w:ind w:left="320" w:hanging="320"/>
        <w:jc w:val="both"/>
      </w:pPr>
      <w:r>
        <w:rPr>
          <w:sz w:val="14"/>
          <w:szCs w:val="14"/>
        </w:rPr>
        <w:t>[12]</w:t>
      </w:r>
      <w:r>
        <w:rPr>
          <w:sz w:val="14"/>
          <w:szCs w:val="14"/>
        </w:rPr>
        <w:tab/>
        <w:t>B. Prakash, “Ferrous metallurgy in ancient India,” in Metallurgy in India—A Retrospective, NML Jamshedpur, 2001.</w:t>
      </w:r>
    </w:p>
    <w:p w14:paraId="627FAE59" w14:textId="77777777" w:rsidR="00424E5C" w:rsidRDefault="00000000">
      <w:pPr>
        <w:spacing w:after="10" w:line="206" w:lineRule="auto"/>
        <w:ind w:left="320" w:hanging="320"/>
        <w:jc w:val="both"/>
      </w:pPr>
      <w:r>
        <w:rPr>
          <w:sz w:val="14"/>
          <w:szCs w:val="14"/>
        </w:rPr>
        <w:t>[13]</w:t>
      </w:r>
      <w:r>
        <w:rPr>
          <w:sz w:val="14"/>
          <w:szCs w:val="14"/>
        </w:rPr>
        <w:tab/>
        <w:t>S. Srinivasan and S. Ranganathan, “Wootz steel: An advanced material of the ancient world,” Dept. Metallurgy, IISc Bangalore.</w:t>
      </w:r>
    </w:p>
    <w:p w14:paraId="575075C1" w14:textId="77777777" w:rsidR="00424E5C" w:rsidRDefault="00000000">
      <w:pPr>
        <w:spacing w:after="10" w:line="206" w:lineRule="auto"/>
        <w:ind w:left="320" w:hanging="320"/>
        <w:jc w:val="both"/>
      </w:pPr>
      <w:r>
        <w:rPr>
          <w:sz w:val="14"/>
          <w:szCs w:val="14"/>
        </w:rPr>
        <w:t>[14]</w:t>
      </w:r>
      <w:r>
        <w:rPr>
          <w:sz w:val="14"/>
          <w:szCs w:val="14"/>
        </w:rPr>
        <w:tab/>
        <w:t xml:space="preserve">“Technology, chronology and the role of crucible steel as inferred from iron objects of the ancient site at </w:t>
      </w:r>
      <w:proofErr w:type="spellStart"/>
      <w:r>
        <w:rPr>
          <w:sz w:val="14"/>
          <w:szCs w:val="14"/>
        </w:rPr>
        <w:t>Junnar</w:t>
      </w:r>
      <w:proofErr w:type="spellEnd"/>
      <w:r>
        <w:rPr>
          <w:sz w:val="14"/>
          <w:szCs w:val="14"/>
        </w:rPr>
        <w:t xml:space="preserve">, India,” J. </w:t>
      </w:r>
      <w:proofErr w:type="spellStart"/>
      <w:r>
        <w:rPr>
          <w:sz w:val="14"/>
          <w:szCs w:val="14"/>
        </w:rPr>
        <w:t>Archaeol</w:t>
      </w:r>
      <w:proofErr w:type="spellEnd"/>
      <w:r>
        <w:rPr>
          <w:sz w:val="14"/>
          <w:szCs w:val="14"/>
        </w:rPr>
        <w:t>. Sci., 2014.</w:t>
      </w:r>
    </w:p>
    <w:p w14:paraId="44C25CC2" w14:textId="77777777" w:rsidR="00424E5C" w:rsidRDefault="00000000">
      <w:pPr>
        <w:spacing w:after="10" w:line="206" w:lineRule="auto"/>
        <w:ind w:left="320" w:hanging="320"/>
        <w:jc w:val="both"/>
      </w:pPr>
      <w:r>
        <w:rPr>
          <w:sz w:val="14"/>
          <w:szCs w:val="14"/>
        </w:rPr>
        <w:t>[15]</w:t>
      </w:r>
      <w:r>
        <w:rPr>
          <w:sz w:val="14"/>
          <w:szCs w:val="14"/>
        </w:rPr>
        <w:tab/>
        <w:t>“Ultrahigh-carbon ‘wootz’ from crucible carburization of molten iron: the ‘Tamil Nadu Process’ at Mel-</w:t>
      </w:r>
      <w:proofErr w:type="spellStart"/>
      <w:r>
        <w:rPr>
          <w:sz w:val="14"/>
          <w:szCs w:val="14"/>
        </w:rPr>
        <w:t>siruvalur</w:t>
      </w:r>
      <w:proofErr w:type="spellEnd"/>
      <w:r>
        <w:rPr>
          <w:sz w:val="14"/>
          <w:szCs w:val="14"/>
        </w:rPr>
        <w:t>,” Mater. Manuf. Process., vol. 32, nos. 7–8, 2017.</w:t>
      </w:r>
    </w:p>
    <w:p w14:paraId="6F6D4AAD" w14:textId="77777777" w:rsidR="00424E5C" w:rsidRDefault="00000000">
      <w:pPr>
        <w:spacing w:after="10" w:line="206" w:lineRule="auto"/>
        <w:ind w:left="320" w:hanging="320"/>
        <w:jc w:val="both"/>
      </w:pPr>
      <w:r>
        <w:rPr>
          <w:sz w:val="14"/>
          <w:szCs w:val="14"/>
        </w:rPr>
        <w:t>[16]</w:t>
      </w:r>
      <w:r>
        <w:rPr>
          <w:sz w:val="14"/>
          <w:szCs w:val="14"/>
        </w:rPr>
        <w:tab/>
        <w:t xml:space="preserve">“Surface matters: Decarburising wootz crucible steel ingots,” Adv. </w:t>
      </w:r>
      <w:proofErr w:type="spellStart"/>
      <w:r>
        <w:rPr>
          <w:sz w:val="14"/>
          <w:szCs w:val="14"/>
        </w:rPr>
        <w:t>Archaeomater</w:t>
      </w:r>
      <w:proofErr w:type="spellEnd"/>
      <w:r>
        <w:rPr>
          <w:sz w:val="14"/>
          <w:szCs w:val="14"/>
        </w:rPr>
        <w:t>., vol. 4, 100042, 2023.</w:t>
      </w:r>
    </w:p>
    <w:p w14:paraId="4ED6C4A2" w14:textId="77777777" w:rsidR="00424E5C" w:rsidRDefault="00000000">
      <w:pPr>
        <w:spacing w:after="10" w:line="206" w:lineRule="auto"/>
        <w:ind w:left="320" w:hanging="320"/>
        <w:jc w:val="both"/>
      </w:pPr>
      <w:r>
        <w:rPr>
          <w:sz w:val="14"/>
          <w:szCs w:val="14"/>
        </w:rPr>
        <w:t>[17]</w:t>
      </w:r>
      <w:r>
        <w:rPr>
          <w:sz w:val="14"/>
          <w:szCs w:val="14"/>
        </w:rPr>
        <w:tab/>
        <w:t xml:space="preserve">“Are crucible steel ingots isotopically homogenous? AMS radiocarbon measurements on ingots from Telangana, India,” J. </w:t>
      </w:r>
      <w:proofErr w:type="spellStart"/>
      <w:r>
        <w:rPr>
          <w:sz w:val="14"/>
          <w:szCs w:val="14"/>
        </w:rPr>
        <w:t>Archaeol</w:t>
      </w:r>
      <w:proofErr w:type="spellEnd"/>
      <w:r>
        <w:rPr>
          <w:sz w:val="14"/>
          <w:szCs w:val="14"/>
        </w:rPr>
        <w:t>. Sci., 2023.</w:t>
      </w:r>
    </w:p>
    <w:p w14:paraId="20426960" w14:textId="77777777" w:rsidR="00424E5C" w:rsidRDefault="00000000">
      <w:pPr>
        <w:spacing w:after="10" w:line="206" w:lineRule="auto"/>
        <w:ind w:left="320" w:hanging="320"/>
        <w:jc w:val="both"/>
      </w:pPr>
      <w:r>
        <w:rPr>
          <w:sz w:val="14"/>
          <w:szCs w:val="14"/>
        </w:rPr>
        <w:t>[18]</w:t>
      </w:r>
      <w:r>
        <w:rPr>
          <w:sz w:val="14"/>
          <w:szCs w:val="14"/>
        </w:rPr>
        <w:tab/>
        <w:t>J. Verhoeven, “Pattern formation in wootz Damascus steel swords and blades,” Indian J. Hist. Sci., vol. 42, no. 4, pp. 559–574, 2007.</w:t>
      </w:r>
    </w:p>
    <w:p w14:paraId="2ED13848" w14:textId="77777777" w:rsidR="00424E5C" w:rsidRDefault="00000000">
      <w:pPr>
        <w:spacing w:after="10" w:line="206" w:lineRule="auto"/>
        <w:ind w:left="320" w:hanging="320"/>
        <w:jc w:val="both"/>
      </w:pPr>
      <w:r>
        <w:rPr>
          <w:sz w:val="14"/>
          <w:szCs w:val="14"/>
        </w:rPr>
        <w:t>[19]</w:t>
      </w:r>
      <w:r>
        <w:rPr>
          <w:sz w:val="14"/>
          <w:szCs w:val="14"/>
        </w:rPr>
        <w:tab/>
        <w:t>“Iron in ancient India,” Nature, vol. 94, p. 520, 1915.</w:t>
      </w:r>
    </w:p>
    <w:sectPr w:rsidR="00424E5C">
      <w:footerReference w:type="default" r:id="rId8"/>
      <w:type w:val="continuous"/>
      <w:pgSz w:w="12240" w:h="15840"/>
      <w:pgMar w:top="720" w:right="864" w:bottom="720" w:left="864" w:header="360" w:footer="36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E9AC" w14:textId="77777777" w:rsidR="00CC4346" w:rsidRDefault="00CC4346">
      <w:r>
        <w:separator/>
      </w:r>
    </w:p>
  </w:endnote>
  <w:endnote w:type="continuationSeparator" w:id="0">
    <w:p w14:paraId="5F17A7C6" w14:textId="77777777" w:rsidR="00CC4346" w:rsidRDefault="00CC4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1F14" w14:textId="77777777" w:rsidR="00424E5C" w:rsidRDefault="00000000">
    <w:pPr>
      <w:jc w:val="center"/>
    </w:pPr>
    <w:r>
      <w:rPr>
        <w:sz w:val="16"/>
        <w:szCs w:val="16"/>
      </w:rPr>
      <w:fldChar w:fldCharType="begin"/>
    </w:r>
    <w:r>
      <w:rPr>
        <w:sz w:val="16"/>
        <w:szCs w:val="16"/>
      </w:rPr>
      <w:instrText>PAGE</w:instrText>
    </w:r>
    <w:r>
      <w:rPr>
        <w:sz w:val="16"/>
        <w:szCs w:val="16"/>
      </w:rPr>
      <w:fldChar w:fldCharType="separate"/>
    </w:r>
    <w:r w:rsidR="004A0198">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C758" w14:textId="77777777" w:rsidR="00424E5C" w:rsidRDefault="00000000">
    <w:pPr>
      <w:jc w:val="center"/>
    </w:pPr>
    <w:r>
      <w:rPr>
        <w:sz w:val="16"/>
        <w:szCs w:val="16"/>
      </w:rPr>
      <w:fldChar w:fldCharType="begin"/>
    </w:r>
    <w:r>
      <w:rPr>
        <w:sz w:val="16"/>
        <w:szCs w:val="16"/>
      </w:rPr>
      <w:instrText>PAGE</w:instrText>
    </w:r>
    <w:r>
      <w:rPr>
        <w:sz w:val="16"/>
        <w:szCs w:val="16"/>
      </w:rPr>
      <w:fldChar w:fldCharType="separate"/>
    </w:r>
    <w:r w:rsidR="004A0198">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518CF" w14:textId="77777777" w:rsidR="00CC4346" w:rsidRDefault="00CC4346">
      <w:r>
        <w:separator/>
      </w:r>
    </w:p>
  </w:footnote>
  <w:footnote w:type="continuationSeparator" w:id="0">
    <w:p w14:paraId="1E0F0E31" w14:textId="77777777" w:rsidR="00CC4346" w:rsidRDefault="00CC4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47826"/>
    <w:multiLevelType w:val="hybridMultilevel"/>
    <w:tmpl w:val="42C01A88"/>
    <w:lvl w:ilvl="0" w:tplc="2B769B0E">
      <w:start w:val="1"/>
      <w:numFmt w:val="bullet"/>
      <w:lvlText w:val="●"/>
      <w:lvlJc w:val="left"/>
      <w:pPr>
        <w:ind w:left="720" w:hanging="360"/>
      </w:pPr>
    </w:lvl>
    <w:lvl w:ilvl="1" w:tplc="148C926C">
      <w:start w:val="1"/>
      <w:numFmt w:val="bullet"/>
      <w:lvlText w:val="○"/>
      <w:lvlJc w:val="left"/>
      <w:pPr>
        <w:ind w:left="1440" w:hanging="360"/>
      </w:pPr>
    </w:lvl>
    <w:lvl w:ilvl="2" w:tplc="E2187322">
      <w:start w:val="1"/>
      <w:numFmt w:val="bullet"/>
      <w:lvlText w:val="■"/>
      <w:lvlJc w:val="left"/>
      <w:pPr>
        <w:ind w:left="2160" w:hanging="360"/>
      </w:pPr>
    </w:lvl>
    <w:lvl w:ilvl="3" w:tplc="3A5EABDA">
      <w:start w:val="1"/>
      <w:numFmt w:val="bullet"/>
      <w:lvlText w:val="●"/>
      <w:lvlJc w:val="left"/>
      <w:pPr>
        <w:ind w:left="2880" w:hanging="360"/>
      </w:pPr>
    </w:lvl>
    <w:lvl w:ilvl="4" w:tplc="63341AA0">
      <w:start w:val="1"/>
      <w:numFmt w:val="bullet"/>
      <w:lvlText w:val="○"/>
      <w:lvlJc w:val="left"/>
      <w:pPr>
        <w:ind w:left="3600" w:hanging="360"/>
      </w:pPr>
    </w:lvl>
    <w:lvl w:ilvl="5" w:tplc="B41ACC24">
      <w:start w:val="1"/>
      <w:numFmt w:val="bullet"/>
      <w:lvlText w:val="■"/>
      <w:lvlJc w:val="left"/>
      <w:pPr>
        <w:ind w:left="4320" w:hanging="360"/>
      </w:pPr>
    </w:lvl>
    <w:lvl w:ilvl="6" w:tplc="08B0CA74">
      <w:start w:val="1"/>
      <w:numFmt w:val="bullet"/>
      <w:lvlText w:val="●"/>
      <w:lvlJc w:val="left"/>
      <w:pPr>
        <w:ind w:left="5040" w:hanging="360"/>
      </w:pPr>
    </w:lvl>
    <w:lvl w:ilvl="7" w:tplc="73D0524E">
      <w:start w:val="1"/>
      <w:numFmt w:val="bullet"/>
      <w:lvlText w:val="●"/>
      <w:lvlJc w:val="left"/>
      <w:pPr>
        <w:ind w:left="5760" w:hanging="360"/>
      </w:pPr>
    </w:lvl>
    <w:lvl w:ilvl="8" w:tplc="0D7EEAEA">
      <w:start w:val="1"/>
      <w:numFmt w:val="bullet"/>
      <w:lvlText w:val="●"/>
      <w:lvlJc w:val="left"/>
      <w:pPr>
        <w:ind w:left="6480" w:hanging="360"/>
      </w:pPr>
    </w:lvl>
  </w:abstractNum>
  <w:num w:numId="1" w16cid:durableId="1797138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5C"/>
    <w:rsid w:val="0028513C"/>
    <w:rsid w:val="00424E5C"/>
    <w:rsid w:val="004A0198"/>
    <w:rsid w:val="00CC4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6967"/>
  <w15:docId w15:val="{BC18AA7E-B94C-43EB-AE11-F65023D5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2146</Words>
  <Characters>12237</Characters>
  <Application>Microsoft Office Word</Application>
  <DocSecurity>0</DocSecurity>
  <Lines>101</Lines>
  <Paragraphs>28</Paragraphs>
  <ScaleCrop>false</ScaleCrop>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Sune</cp:lastModifiedBy>
  <cp:revision>2</cp:revision>
  <dcterms:created xsi:type="dcterms:W3CDTF">2026-09-29T17:00:00Z</dcterms:created>
  <dcterms:modified xsi:type="dcterms:W3CDTF">2026-09-29T17:00:00Z</dcterms:modified>
</cp:coreProperties>
</file>