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Quattrocento Sans" w:cs="Quattrocento Sans" w:eastAsia="Quattrocento Sans" w:hAnsi="Quattrocento Sans"/>
          <w:b w:val="1"/>
          <w:bCs w:val="1"/>
          <w:color w:val="052831"/>
          <w:sz w:val="40"/>
          <w:szCs w:val="40"/>
          <w:rtl w:val="0"/>
        </w:rPr>
        <w:t xml:space="preserve">AI Control Tower for Supply Chain Risk Management</w:t>
      </w:r>
      <w:r w:rsidDel="00000000" w:rsidR="00000000" w:rsidRPr="00000000">
        <w:rPr>
          <w:rtl w:val="0"/>
        </w:rPr>
      </w:r>
    </w:p>
    <w:p w:rsidR="00000000" w:rsidDel="00000000" w:rsidP="00000000" w:rsidRDefault="00000000" w:rsidRPr="00000000" w14:paraId="00000002">
      <w:pPr>
        <w:pBdr>
          <w:bottom w:color="00c6c2" w:space="6" w:sz="12" w:val="single"/>
        </w:pBdr>
        <w:spacing w:after="40" w:lineRule="auto"/>
        <w:jc w:val="center"/>
        <w:rPr/>
      </w:pPr>
      <w:r w:rsidDel="00000000" w:rsidR="00000000" w:rsidRPr="00000000">
        <w:rPr>
          <w:rFonts w:ascii="Quattrocento Sans" w:cs="Quattrocento Sans" w:eastAsia="Quattrocento Sans" w:hAnsi="Quattrocento Sans"/>
          <w:b w:val="1"/>
          <w:bCs w:val="1"/>
          <w:color w:val="00c6c2"/>
          <w:sz w:val="24"/>
          <w:szCs w:val="24"/>
          <w:rtl w:val="0"/>
        </w:rPr>
        <w:t xml:space="preserve">An AI-Driven Risk Intelligence Platform</w:t>
      </w:r>
      <w:r w:rsidDel="00000000" w:rsidR="00000000" w:rsidRPr="00000000">
        <w:rPr>
          <w:rtl w:val="0"/>
        </w:rPr>
      </w:r>
    </w:p>
    <w:p w:rsidR="00000000" w:rsidDel="00000000" w:rsidP="00000000" w:rsidRDefault="00000000" w:rsidRPr="00000000" w14:paraId="00000003">
      <w:pPr>
        <w:spacing w:after="200" w:before="120" w:lineRule="auto"/>
        <w:jc w:val="center"/>
        <w:rPr/>
      </w:pPr>
      <w:r w:rsidDel="00000000" w:rsidR="00000000" w:rsidRPr="00000000">
        <w:rPr>
          <w:rFonts w:ascii="Avenir" w:cs="Avenir" w:eastAsia="Avenir" w:hAnsi="Avenir"/>
          <w:i w:val="1"/>
          <w:iCs w:val="1"/>
          <w:color w:val="052831"/>
          <w:rtl w:val="0"/>
        </w:rPr>
        <w:t xml:space="preserve">Overview</w:t>
      </w:r>
      <w:r w:rsidDel="00000000" w:rsidR="00000000" w:rsidRPr="00000000">
        <w:rPr>
          <w:rtl w:val="0"/>
        </w:rPr>
      </w:r>
    </w:p>
    <w:p w:rsidR="00000000" w:rsidDel="00000000" w:rsidP="00000000" w:rsidRDefault="00000000" w:rsidRPr="00000000" w14:paraId="00000004">
      <w:pPr>
        <w:spacing w:after="80" w:before="100" w:lineRule="auto"/>
        <w:rPr/>
      </w:pPr>
      <w:r w:rsidDel="00000000" w:rsidR="00000000" w:rsidRPr="00000000">
        <w:rPr>
          <w:rFonts w:ascii="Quattrocento Sans" w:cs="Quattrocento Sans" w:eastAsia="Quattrocento Sans" w:hAnsi="Quattrocento Sans"/>
          <w:b w:val="1"/>
          <w:bCs w:val="1"/>
          <w:color w:val="00c6c2"/>
          <w:sz w:val="22"/>
          <w:szCs w:val="22"/>
          <w:rtl w:val="0"/>
        </w:rPr>
        <w:t xml:space="preserve">THE USE CASE</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venir" w:cs="Avenir" w:eastAsia="Avenir" w:hAnsi="Avenir"/>
          <w:color w:val="052831"/>
          <w:rtl w:val="0"/>
        </w:rPr>
        <w:t xml:space="preserve">Global supply chains generate large volumes of shipment data across vendors, warehouses, and carriers but that data is frequently incomplete, inconsistent, or arrives too late to act on. Businesses typically discover a delay only after it has already happened, at which point the customer impact is already locked in. The core challenge is turning raw, messy, real-world logistics data into an early-warning system: one that identifies which shipments are at genuine risk of delay, explains why, and takes the first step toward fixing it before the delay occurs.</w:t>
      </w: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Fonts w:ascii="Quattrocento Sans" w:cs="Quattrocento Sans" w:eastAsia="Quattrocento Sans" w:hAnsi="Quattrocento Sans"/>
          <w:b w:val="1"/>
          <w:bCs w:val="1"/>
          <w:color w:val="00c6c2"/>
          <w:sz w:val="22"/>
          <w:szCs w:val="22"/>
          <w:rtl w:val="0"/>
        </w:rPr>
        <w:t xml:space="preserve">THE SOLUTION</w:t>
      </w:r>
      <w:r w:rsidDel="00000000" w:rsidR="00000000" w:rsidRPr="00000000">
        <w:rPr>
          <w:rtl w:val="0"/>
        </w:rPr>
      </w:r>
    </w:p>
    <w:p w:rsidR="00000000" w:rsidDel="00000000" w:rsidP="00000000" w:rsidRDefault="00000000" w:rsidRPr="00000000" w14:paraId="00000007">
      <w:pPr>
        <w:spacing w:after="160" w:lineRule="auto"/>
        <w:rPr/>
      </w:pPr>
      <w:r w:rsidDel="00000000" w:rsidR="00000000" w:rsidRPr="00000000">
        <w:rPr>
          <w:rFonts w:ascii="Avenir" w:cs="Avenir" w:eastAsia="Avenir" w:hAnsi="Avenir"/>
          <w:color w:val="052831"/>
          <w:rtl w:val="0"/>
        </w:rPr>
        <w:t xml:space="preserve">The AI Control Tower is an end-to-end pipeline that ingests real shipment records, cleans them through a layered Bronze → Silver → Gold architecture, scores delay risk with a properly trained and tested machine learning model, and exposes the results through a natural-language interface including an autonomous agent capable of acting on high-risk shipments without step-by-step human instruction. Five complementary technologies work together, each solving a different part of the problem.</w:t>
      </w:r>
      <w:r w:rsidDel="00000000" w:rsidR="00000000" w:rsidRPr="00000000">
        <w:rPr>
          <w:rtl w:val="0"/>
        </w:rPr>
      </w:r>
    </w:p>
    <w:tbl>
      <w:tblPr>
        <w:tblStyle w:val="Table1"/>
        <w:tblW w:w="10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0"/>
        <w:gridCol w:w="6634"/>
        <w:gridCol w:w="2546"/>
        <w:tblGridChange w:id="0">
          <w:tblGrid>
            <w:gridCol w:w="1460"/>
            <w:gridCol w:w="6634"/>
            <w:gridCol w:w="2546"/>
          </w:tblGrid>
        </w:tblGridChange>
      </w:tblGrid>
      <w:tr>
        <w:trPr>
          <w:cantSplit w:val="0"/>
          <w:trHeight w:val="20" w:hRule="atLeast"/>
          <w:tblHeader w:val="1"/>
        </w:trPr>
        <w:tc>
          <w:tcPr>
            <w:tcBorders>
              <w:top w:color="000000" w:space="0" w:sz="0" w:val="nil"/>
              <w:left w:color="000000" w:space="0" w:sz="0" w:val="nil"/>
              <w:bottom w:color="000000" w:space="0" w:sz="0" w:val="nil"/>
              <w:right w:color="000000" w:space="0" w:sz="0" w:val="nil"/>
            </w:tcBorders>
            <w:shd w:fill="052831" w:val="clear"/>
            <w:tcMar>
              <w:top w:w="60.0" w:type="dxa"/>
              <w:left w:w="100.0" w:type="dxa"/>
              <w:bottom w:w="60.0" w:type="dxa"/>
              <w:right w:w="100.0" w:type="dxa"/>
            </w:tcMar>
          </w:tcPr>
          <w:p w:rsidR="00000000" w:rsidDel="00000000" w:rsidP="00000000" w:rsidRDefault="00000000" w:rsidRPr="00000000" w14:paraId="00000008">
            <w:pPr>
              <w:rPr>
                <w:sz w:val="2"/>
                <w:szCs w:val="2"/>
              </w:rPr>
            </w:pPr>
            <w:bookmarkStart w:colFirst="0" w:colLast="0" w:name="_heading=h.uh7eh67bu7nl" w:id="0"/>
            <w:bookmarkEnd w:id="0"/>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52831" w:val="clear"/>
            <w:tcMar>
              <w:top w:w="60.0" w:type="dxa"/>
              <w:left w:w="100.0" w:type="dxa"/>
              <w:bottom w:w="60.0" w:type="dxa"/>
              <w:right w:w="100.0" w:type="dxa"/>
            </w:tcMar>
          </w:tcPr>
          <w:p w:rsidR="00000000" w:rsidDel="00000000" w:rsidP="00000000" w:rsidRDefault="00000000" w:rsidRPr="00000000" w14:paraId="00000009">
            <w:pPr>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52831" w:val="clear"/>
            <w:tcMar>
              <w:top w:w="60.0" w:type="dxa"/>
              <w:left w:w="100.0" w:type="dxa"/>
              <w:bottom w:w="60.0" w:type="dxa"/>
              <w:right w:w="100.0" w:type="dxa"/>
            </w:tcMar>
          </w:tcPr>
          <w:p w:rsidR="00000000" w:rsidDel="00000000" w:rsidP="00000000" w:rsidRDefault="00000000" w:rsidRPr="00000000" w14:paraId="0000000A">
            <w:pPr>
              <w:rPr>
                <w:sz w:val="2"/>
                <w:szCs w:val="2"/>
              </w:rPr>
            </w:pPr>
            <w:r w:rsidDel="00000000" w:rsidR="00000000" w:rsidRPr="00000000">
              <w:rPr>
                <w:rtl w:val="0"/>
              </w:rPr>
            </w:r>
          </w:p>
        </w:tc>
      </w:tr>
      <w:tr>
        <w:trPr>
          <w:cantSplit w:val="0"/>
          <w:tblHeader w:val="1"/>
        </w:trPr>
        <w:tc>
          <w:tcPr>
            <w:shd w:fill="052831" w:val="clear"/>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Quattrocento Sans" w:cs="Quattrocento Sans" w:eastAsia="Quattrocento Sans" w:hAnsi="Quattrocento Sans"/>
                <w:b w:val="1"/>
                <w:bCs w:val="1"/>
                <w:color w:val="ffffff"/>
                <w:sz w:val="19"/>
                <w:szCs w:val="19"/>
                <w:rtl w:val="0"/>
              </w:rPr>
              <w:t xml:space="preserve">Technology</w:t>
            </w:r>
            <w:r w:rsidDel="00000000" w:rsidR="00000000" w:rsidRPr="00000000">
              <w:rPr>
                <w:rtl w:val="0"/>
              </w:rPr>
            </w:r>
          </w:p>
        </w:tc>
        <w:tc>
          <w:tcPr>
            <w:shd w:fill="052831" w:val="clear"/>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Quattrocento Sans" w:cs="Quattrocento Sans" w:eastAsia="Quattrocento Sans" w:hAnsi="Quattrocento Sans"/>
                <w:b w:val="1"/>
                <w:bCs w:val="1"/>
                <w:color w:val="ffffff"/>
                <w:sz w:val="19"/>
                <w:szCs w:val="19"/>
                <w:rtl w:val="0"/>
              </w:rPr>
              <w:t xml:space="preserve">Role in This Solution</w:t>
            </w:r>
            <w:r w:rsidDel="00000000" w:rsidR="00000000" w:rsidRPr="00000000">
              <w:rPr>
                <w:rtl w:val="0"/>
              </w:rPr>
            </w:r>
          </w:p>
        </w:tc>
        <w:tc>
          <w:tcPr>
            <w:shd w:fill="052831" w:val="clear"/>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Quattrocento Sans" w:cs="Quattrocento Sans" w:eastAsia="Quattrocento Sans" w:hAnsi="Quattrocento Sans"/>
                <w:b w:val="1"/>
                <w:bCs w:val="1"/>
                <w:color w:val="ffffff"/>
                <w:sz w:val="19"/>
                <w:szCs w:val="19"/>
                <w:rtl w:val="0"/>
              </w:rPr>
              <w:t xml:space="preserve">Where It's Used</w:t>
            </w:r>
            <w:r w:rsidDel="00000000" w:rsidR="00000000" w:rsidRPr="00000000">
              <w:rPr>
                <w:rtl w:val="0"/>
              </w:rPr>
            </w:r>
          </w:p>
        </w:tc>
      </w:tr>
      <w:tr>
        <w:trPr>
          <w:cantSplit w:val="0"/>
          <w:tblHeader w:val="0"/>
        </w:trPr>
        <w:tc>
          <w:tcPr>
            <w:shd w:fill="fdf7ea" w:val="clear"/>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venir" w:cs="Avenir" w:eastAsia="Avenir" w:hAnsi="Avenir"/>
                <w:b w:val="1"/>
                <w:bCs w:val="1"/>
                <w:color w:val="052831"/>
                <w:sz w:val="18"/>
                <w:szCs w:val="18"/>
                <w:rtl w:val="0"/>
              </w:rPr>
              <w:t xml:space="preserve">Data Engineering</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rFonts w:ascii="Avenir" w:cs="Avenir" w:eastAsia="Avenir" w:hAnsi="Avenir"/>
                <w:color w:val="052831"/>
                <w:sz w:val="18"/>
                <w:szCs w:val="18"/>
                <w:rtl w:val="0"/>
              </w:rPr>
              <w:t xml:space="preserve">Builds the pipeline that turns messy, real raw data into clean, trustworthy tables handling missing values, invalid entries, and inconsistent formats without manual patching.</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rFonts w:ascii="Avenir" w:cs="Avenir" w:eastAsia="Avenir" w:hAnsi="Avenir"/>
                <w:color w:val="052831"/>
                <w:sz w:val="18"/>
                <w:szCs w:val="18"/>
                <w:rtl w:val="0"/>
              </w:rPr>
              <w:t xml:space="preserve">Bronze &amp; Silver layers (ingestion + cleaning scripts)</w:t>
            </w:r>
            <w:r w:rsidDel="00000000" w:rsidR="00000000" w:rsidRPr="00000000">
              <w:rPr>
                <w:rtl w:val="0"/>
              </w:rPr>
            </w:r>
          </w:p>
        </w:tc>
      </w:tr>
      <w:tr>
        <w:trPr>
          <w:cantSplit w:val="0"/>
          <w:tblHeader w:val="0"/>
        </w:trPr>
        <w:tc>
          <w:tcPr>
            <w:shd w:fill="fdf7ea" w:val="clear"/>
            <w:tcMar>
              <w:top w:w="60.0" w:type="dxa"/>
              <w:left w:w="100.0" w:type="dxa"/>
              <w:bottom w:w="60.0" w:type="dxa"/>
              <w:right w:w="100.0" w:type="dxa"/>
            </w:tcMar>
          </w:tcPr>
          <w:p w:rsidR="00000000" w:rsidDel="00000000" w:rsidP="00000000" w:rsidRDefault="00000000" w:rsidRPr="00000000" w14:paraId="00000011">
            <w:pPr>
              <w:rPr/>
            </w:pPr>
            <w:r w:rsidDel="00000000" w:rsidR="00000000" w:rsidRPr="00000000">
              <w:rPr>
                <w:rFonts w:ascii="Avenir" w:cs="Avenir" w:eastAsia="Avenir" w:hAnsi="Avenir"/>
                <w:b w:val="1"/>
                <w:bCs w:val="1"/>
                <w:color w:val="052831"/>
                <w:sz w:val="18"/>
                <w:szCs w:val="18"/>
                <w:rtl w:val="0"/>
              </w:rPr>
              <w:t xml:space="preserve">Data Analysis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rFonts w:ascii="Avenir" w:cs="Avenir" w:eastAsia="Avenir" w:hAnsi="Avenir"/>
                <w:color w:val="052831"/>
                <w:sz w:val="18"/>
                <w:szCs w:val="18"/>
                <w:rtl w:val="0"/>
              </w:rPr>
              <w:t xml:space="preserve">Turns clean data into business answers KPIs, delay-rate trends, vendor performance and structures it for reporting and modelling.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rFonts w:ascii="Avenir" w:cs="Avenir" w:eastAsia="Avenir" w:hAnsi="Avenir"/>
                <w:color w:val="052831"/>
                <w:sz w:val="18"/>
                <w:szCs w:val="18"/>
                <w:rtl w:val="0"/>
              </w:rPr>
              <w:t xml:space="preserve">Gold layer, dashboard, KPI tables</w:t>
            </w:r>
            <w:r w:rsidDel="00000000" w:rsidR="00000000" w:rsidRPr="00000000">
              <w:rPr>
                <w:rtl w:val="0"/>
              </w:rPr>
            </w:r>
          </w:p>
        </w:tc>
      </w:tr>
      <w:tr>
        <w:trPr>
          <w:cantSplit w:val="0"/>
          <w:tblHeader w:val="0"/>
        </w:trPr>
        <w:tc>
          <w:tcPr>
            <w:shd w:fill="fdf7ea"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rFonts w:ascii="Avenir" w:cs="Avenir" w:eastAsia="Avenir" w:hAnsi="Avenir"/>
                <w:b w:val="1"/>
                <w:bCs w:val="1"/>
                <w:color w:val="052831"/>
                <w:sz w:val="18"/>
                <w:szCs w:val="18"/>
                <w:rtl w:val="0"/>
              </w:rPr>
              <w:t xml:space="preserve">LLM (Gemini)</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rFonts w:ascii="Avenir" w:cs="Avenir" w:eastAsia="Avenir" w:hAnsi="Avenir"/>
                <w:color w:val="052831"/>
                <w:sz w:val="18"/>
                <w:szCs w:val="18"/>
                <w:rtl w:val="0"/>
              </w:rPr>
              <w:t xml:space="preserve">The underlying language model powering every AI feature below trained to understand and generate real, coherent text and structured queries.</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rFonts w:ascii="Avenir" w:cs="Avenir" w:eastAsia="Avenir" w:hAnsi="Avenir"/>
                <w:color w:val="052831"/>
                <w:sz w:val="18"/>
                <w:szCs w:val="18"/>
                <w:rtl w:val="0"/>
              </w:rPr>
              <w:t xml:space="preserve">Foundation for all three AI features</w:t>
            </w:r>
            <w:r w:rsidDel="00000000" w:rsidR="00000000" w:rsidRPr="00000000">
              <w:rPr>
                <w:rtl w:val="0"/>
              </w:rPr>
            </w:r>
          </w:p>
        </w:tc>
      </w:tr>
      <w:tr>
        <w:trPr>
          <w:cantSplit w:val="0"/>
          <w:tblHeader w:val="0"/>
        </w:trPr>
        <w:tc>
          <w:tcPr>
            <w:shd w:fill="fdf7ea"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rFonts w:ascii="Avenir" w:cs="Avenir" w:eastAsia="Avenir" w:hAnsi="Avenir"/>
                <w:b w:val="1"/>
                <w:bCs w:val="1"/>
                <w:color w:val="052831"/>
                <w:sz w:val="18"/>
                <w:szCs w:val="18"/>
                <w:rtl w:val="0"/>
              </w:rPr>
              <w:t xml:space="preserve">Generative AI</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rFonts w:ascii="Avenir" w:cs="Avenir" w:eastAsia="Avenir" w:hAnsi="Avenir"/>
                <w:color w:val="052831"/>
                <w:sz w:val="18"/>
                <w:szCs w:val="18"/>
                <w:rtl w:val="0"/>
              </w:rPr>
              <w:t xml:space="preserve">Generates new, real content on demand from a single prompt: a SQL query from a plain-English question, or a drafted mitigation email from shipment data.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rFonts w:ascii="Avenir" w:cs="Avenir" w:eastAsia="Avenir" w:hAnsi="Avenir"/>
                <w:color w:val="052831"/>
                <w:sz w:val="18"/>
                <w:szCs w:val="18"/>
                <w:rtl w:val="0"/>
              </w:rPr>
              <w:t xml:space="preserve">Text-to-SQL analyst, RCA email generator</w:t>
            </w:r>
            <w:r w:rsidDel="00000000" w:rsidR="00000000" w:rsidRPr="00000000">
              <w:rPr>
                <w:rtl w:val="0"/>
              </w:rPr>
            </w:r>
          </w:p>
        </w:tc>
      </w:tr>
      <w:tr>
        <w:trPr>
          <w:cantSplit w:val="0"/>
          <w:tblHeader w:val="0"/>
        </w:trPr>
        <w:tc>
          <w:tcPr>
            <w:shd w:fill="fdf7ea"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rFonts w:ascii="Avenir" w:cs="Avenir" w:eastAsia="Avenir" w:hAnsi="Avenir"/>
                <w:b w:val="1"/>
                <w:bCs w:val="1"/>
                <w:color w:val="052831"/>
                <w:sz w:val="18"/>
                <w:szCs w:val="18"/>
                <w:rtl w:val="0"/>
              </w:rPr>
              <w:t xml:space="preserve">Agentic AI</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Fonts w:ascii="Avenir" w:cs="Avenir" w:eastAsia="Avenir" w:hAnsi="Avenir"/>
                <w:color w:val="052831"/>
                <w:sz w:val="18"/>
                <w:szCs w:val="18"/>
                <w:rtl w:val="0"/>
              </w:rPr>
              <w:t xml:space="preserve">Given a goal rather than a single question, autonomously decides which real actions to take, in what order, and tracks its own prior actions to avoid repeating work.</w:t>
            </w:r>
            <w:r w:rsidDel="00000000" w:rsidR="00000000" w:rsidRPr="00000000">
              <w:rPr>
                <w:rtl w:val="0"/>
              </w:rPr>
            </w:r>
          </w:p>
        </w:tc>
        <w:tc>
          <w:tcPr>
            <w:shd w:fill="f7f7f7"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rFonts w:ascii="Avenir" w:cs="Avenir" w:eastAsia="Avenir" w:hAnsi="Avenir"/>
                <w:color w:val="052831"/>
                <w:sz w:val="18"/>
                <w:szCs w:val="18"/>
                <w:rtl w:val="0"/>
              </w:rPr>
              <w:t xml:space="preserve">Autonomous high-risk shipment monitor</w:t>
            </w:r>
            <w:r w:rsidDel="00000000" w:rsidR="00000000" w:rsidRPr="00000000">
              <w:rPr>
                <w:rtl w:val="0"/>
              </w:rPr>
            </w:r>
          </w:p>
        </w:tc>
      </w:tr>
    </w:tbl>
    <w:p w:rsidR="00000000" w:rsidDel="00000000" w:rsidP="00000000" w:rsidRDefault="00000000" w:rsidRPr="00000000" w14:paraId="0000001D">
      <w:pPr>
        <w:spacing w:after="80" w:before="200" w:lineRule="auto"/>
        <w:rPr/>
      </w:pPr>
      <w:r w:rsidDel="00000000" w:rsidR="00000000" w:rsidRPr="00000000">
        <w:rPr>
          <w:rFonts w:ascii="Quattrocento Sans" w:cs="Quattrocento Sans" w:eastAsia="Quattrocento Sans" w:hAnsi="Quattrocento Sans"/>
          <w:b w:val="1"/>
          <w:bCs w:val="1"/>
          <w:color w:val="00c6c2"/>
          <w:sz w:val="22"/>
          <w:szCs w:val="22"/>
          <w:rtl w:val="0"/>
        </w:rPr>
        <w:t xml:space="preserve">THE OUTCOME</w:t>
      </w:r>
      <w:r w:rsidDel="00000000" w:rsidR="00000000" w:rsidRPr="00000000">
        <w:rPr>
          <w:rtl w:val="0"/>
        </w:rPr>
      </w:r>
    </w:p>
    <w:p w:rsidR="00000000" w:rsidDel="00000000" w:rsidP="00000000" w:rsidRDefault="00000000" w:rsidRPr="00000000" w14:paraId="0000001E">
      <w:pPr>
        <w:rPr/>
      </w:pPr>
      <w:r w:rsidDel="00000000" w:rsidR="00000000" w:rsidRPr="00000000">
        <w:rPr>
          <w:rFonts w:ascii="Avenir" w:cs="Avenir" w:eastAsia="Avenir" w:hAnsi="Avenir"/>
          <w:color w:val="052831"/>
          <w:rtl w:val="0"/>
        </w:rPr>
        <w:t xml:space="preserve">A business user can ask a plain-English question and get a real answer from live data, receive an early warning on shipments genuinely at risk, and have routine mitigation steps handled automatically while every number in the system remains traceable back to a real, auditable shipment record, at every stage from raw ingestion to final action.</w:t>
      </w:r>
      <w:r w:rsidDel="00000000" w:rsidR="00000000" w:rsidRPr="00000000">
        <w:rPr>
          <w:rtl w:val="0"/>
        </w:rPr>
      </w:r>
    </w:p>
    <w:sectPr>
      <w:footerReference r:id="rId7" w:type="first"/>
      <w:footerReference r:id="rId8" w:type="even"/>
      <w:pgSz w:h="15840" w:w="12240" w:orient="portrait"/>
      <w:pgMar w:bottom="700" w:top="700" w:left="800" w:right="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-512761</wp:posOffset>
              </wp:positionH>
              <wp:positionV relativeFrom="paragraph">
                <wp:posOffset>-9462988</wp:posOffset>
              </wp:positionV>
              <wp:extent cx="1106170" cy="292735"/>
              <wp:effectExtent b="0" l="0" r="0" t="0"/>
              <wp:wrapNone/>
              <wp:docPr descr="Classification: Controlled" id="2073420457" name=""/>
              <a:graphic>
                <a:graphicData uri="http://schemas.microsoft.com/office/word/2010/wordprocessingShape">
                  <wps:wsp>
                    <wps:cNvSpPr/>
                    <wps:cNvPr id="3" name="Shape 3"/>
                    <wps:spPr>
                      <a:xfrm>
                        <a:off x="4797678" y="3638395"/>
                        <a:ext cx="1096645" cy="2832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ff0000"/>
                              <w:sz w:val="12"/>
                              <w:vertAlign w:val="baseline"/>
                            </w:rPr>
                            <w:t xml:space="preserve">Classification: Controlled</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-512761</wp:posOffset>
              </wp:positionH>
              <wp:positionV relativeFrom="paragraph">
                <wp:posOffset>-9462988</wp:posOffset>
              </wp:positionV>
              <wp:extent cx="1106170" cy="292735"/>
              <wp:effectExtent b="0" l="0" r="0" t="0"/>
              <wp:wrapNone/>
              <wp:docPr descr="Classification: Controlled" id="2073420457" name="image2.png"/>
              <a:graphic>
                <a:graphicData uri="http://schemas.openxmlformats.org/drawingml/2006/picture">
                  <pic:pic>
                    <pic:nvPicPr>
                      <pic:cNvPr descr="Classification: Controlled" id="0" name="image2.png"/>
                      <pic:cNvPicPr preferRelativeResize="0"/>
                    </pic:nvPicPr>
                    <pic:blipFill>
                      <a:blip r:embed="rId1"/>
                      <a:srcRect/>
                      <a:stretch>
                        <a:fillRect/>
                      </a:stretch>
                    </pic:blipFill>
                    <pic:spPr>
                      <a:xfrm>
                        <a:off x="0" y="0"/>
                        <a:ext cx="1106170" cy="29273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-512761</wp:posOffset>
              </wp:positionH>
              <wp:positionV relativeFrom="paragraph">
                <wp:posOffset>-9462988</wp:posOffset>
              </wp:positionV>
              <wp:extent cx="1106170" cy="292735"/>
              <wp:effectExtent b="0" l="0" r="0" t="0"/>
              <wp:wrapNone/>
              <wp:docPr descr="Classification: Controlled" id="2073420456" name=""/>
              <a:graphic>
                <a:graphicData uri="http://schemas.microsoft.com/office/word/2010/wordprocessingShape">
                  <wps:wsp>
                    <wps:cNvSpPr/>
                    <wps:cNvPr id="2" name="Shape 2"/>
                    <wps:spPr>
                      <a:xfrm>
                        <a:off x="4797678" y="3638395"/>
                        <a:ext cx="1096645" cy="28321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ptos" w:cs="Aptos" w:eastAsia="Aptos" w:hAnsi="Aptos"/>
                              <w:b w:val="0"/>
                              <w:i w:val="0"/>
                              <w:smallCaps w:val="0"/>
                              <w:strike w:val="0"/>
                              <w:color w:val="ff0000"/>
                              <w:sz w:val="12"/>
                              <w:vertAlign w:val="baseline"/>
                            </w:rPr>
                            <w:t xml:space="preserve">Classification: Controlled</w:t>
                          </w:r>
                        </w:p>
                      </w:txbxContent>
                    </wps:txbx>
                    <wps:bodyPr anchorCtr="0" anchor="b" bIns="190500" lIns="25400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-512761</wp:posOffset>
              </wp:positionH>
              <wp:positionV relativeFrom="paragraph">
                <wp:posOffset>-9462988</wp:posOffset>
              </wp:positionV>
              <wp:extent cx="1106170" cy="292735"/>
              <wp:effectExtent b="0" l="0" r="0" t="0"/>
              <wp:wrapNone/>
              <wp:docPr descr="Classification: Controlled" id="2073420456" name="image1.png"/>
              <a:graphic>
                <a:graphicData uri="http://schemas.openxmlformats.org/drawingml/2006/picture">
                  <pic:pic>
                    <pic:nvPicPr>
                      <pic:cNvPr descr="Classification: Controlled" id="0" name="image1.png"/>
                      <pic:cNvPicPr preferRelativeResize="0"/>
                    </pic:nvPicPr>
                    <pic:blipFill>
                      <a:blip r:embed="rId1"/>
                      <a:srcRect/>
                      <a:stretch>
                        <a:fillRect/>
                      </a:stretch>
                    </pic:blipFill>
                    <pic:spPr>
                      <a:xfrm>
                        <a:off x="0" y="0"/>
                        <a:ext cx="1106170" cy="29273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Footer">
    <w:name w:val="footer"/>
    <w:basedOn w:val="Normal"/>
    <w:link w:val="FooterChar"/>
    <w:uiPriority w:val="99"/>
    <w:unhideWhenUsed w:val="1"/>
    <w:rsid w:val="00A62911"/>
    <w:pPr>
      <w:tabs>
        <w:tab w:val="center" w:pos="4513"/>
        <w:tab w:val="right" w:pos="9026"/>
      </w:tabs>
    </w:pPr>
  </w:style>
  <w:style w:type="character" w:styleId="FooterChar" w:customStyle="1">
    <w:name w:val="Footer Char"/>
    <w:basedOn w:val="DefaultParagraphFont"/>
    <w:link w:val="Footer"/>
    <w:uiPriority w:val="99"/>
    <w:rsid w:val="00A62911"/>
  </w:style>
  <w:style w:type="paragraph" w:styleId="Header">
    <w:name w:val="header"/>
    <w:basedOn w:val="Normal"/>
    <w:link w:val="HeaderChar"/>
    <w:uiPriority w:val="99"/>
    <w:unhideWhenUsed w:val="1"/>
    <w:rsid w:val="000D4A5F"/>
    <w:pPr>
      <w:tabs>
        <w:tab w:val="center" w:pos="4513"/>
        <w:tab w:val="right" w:pos="9026"/>
      </w:tabs>
    </w:pPr>
  </w:style>
  <w:style w:type="character" w:styleId="HeaderChar" w:customStyle="1">
    <w:name w:val="Header Char"/>
    <w:basedOn w:val="DefaultParagraphFont"/>
    <w:link w:val="Header"/>
    <w:uiPriority w:val="99"/>
    <w:rsid w:val="000D4A5F"/>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iXEksSkOX/Dxcn6CCPjt2mCYYg==">CgMxLjAyDmgudWg3ZWg2N2J1N25sOAByITFCY2VZb2pZcHJYa2U0SWpqbzVmMkVaQnFUUHVnam9jTg==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2026-08-19T04:46:00Z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2dc38cbc,7b95e2a7,fb8ad5f</vt:lpwstr>
  </property>
  <property fmtid="{D5CDD505-2E9C-101B-9397-08002B2CF9AE}" pid="3" name="ClassificationContentMarkingFooterFontProps">
    <vt:lpwstr>#ff0000,6,Aptos</vt:lpwstr>
  </property>
  <property fmtid="{D5CDD505-2E9C-101B-9397-08002B2CF9AE}" pid="4" name="ClassificationContentMarkingFooterText">
    <vt:lpwstr>Classification: Controlled</vt:lpwstr>
  </property>
</Properties>
</file>