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A68"/>
          <w:sz w:val="32"/>
        </w:rPr>
        <w:t>Lab 2: Sprint Reflection - Podcast Guest Scheduling &amp; Outline Builder</w:t>
      </w:r>
    </w:p>
    <w:p>
      <w:r>
        <w:rPr>
          <w:color w:val="555F6D"/>
          <w:sz w:val="18"/>
        </w:rPr>
        <w:t>Aryan Upadhyay  |  SRN: PES1UG25CS806  |  Section C  |  Software Engineering (UE24CS341A)</w:t>
      </w:r>
    </w:p>
    <w:p>
      <w:r>
        <w:rPr/>
        <w:t xml:space="preserve">Jira project: </w:t>
      </w:r>
      <w:r>
        <w:rPr>
          <w:b/>
        </w:rPr>
        <w:t>Podcast-Guest-Scheduler</w:t>
      </w:r>
      <w:r>
        <w:rPr/>
        <w:t xml:space="preserve"> (key </w:t>
      </w:r>
      <w:r>
        <w:rPr>
          <w:b/>
        </w:rPr>
        <w:t>PGS</w:t>
      </w:r>
      <w:r>
        <w:rPr/>
        <w:t xml:space="preserve">), Scrum template, company-managed. Built from the Lab 1 requirements for Problem Statement #60. The same items are in </w:t>
      </w:r>
      <w:r>
        <w:rPr>
          <w:b/>
        </w:rPr>
        <w:t>jira_import.csv</w:t>
      </w:r>
      <w:r>
        <w:rPr/>
        <w:t xml:space="preserve"> for Jira's CSV import.</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val="clear" w:color="auto" w:fill="D9E2F3"/>
          </w:tcPr>
          <w:p>
            <w:r/>
            <w:r>
              <w:rPr>
                <w:b/>
                <w:sz w:val="19"/>
              </w:rPr>
              <w:t>Sprint</w:t>
            </w:r>
          </w:p>
        </w:tc>
        <w:tc>
          <w:tcPr>
            <w:tcW w:type="dxa" w:w="6048"/>
            <w:shd w:val="clear" w:color="auto" w:fill="D9E2F3"/>
          </w:tcPr>
          <w:p>
            <w:r/>
            <w:r>
              <w:rPr>
                <w:b/>
                <w:sz w:val="19"/>
              </w:rPr>
              <w:t>Committed stories</w:t>
            </w:r>
          </w:p>
        </w:tc>
        <w:tc>
          <w:tcPr>
            <w:tcW w:type="dxa" w:w="1440"/>
            <w:shd w:val="clear" w:color="auto" w:fill="D9E2F3"/>
          </w:tcPr>
          <w:p>
            <w:r/>
            <w:r>
              <w:rPr>
                <w:b/>
                <w:sz w:val="19"/>
              </w:rPr>
              <w:t>Points</w:t>
            </w:r>
          </w:p>
        </w:tc>
      </w:tr>
      <w:tr>
        <w:tc>
          <w:tcPr>
            <w:tcW w:type="dxa" w:w="2304"/>
          </w:tcPr>
          <w:p>
            <w:r/>
            <w:r>
              <w:rPr>
                <w:sz w:val="18"/>
              </w:rPr>
              <w:t>PGS Sprint 1</w:t>
            </w:r>
          </w:p>
        </w:tc>
        <w:tc>
          <w:tcPr>
            <w:tcW w:type="dxa" w:w="6048"/>
          </w:tcPr>
          <w:p>
            <w:r/>
            <w:r>
              <w:rPr>
                <w:sz w:val="18"/>
              </w:rPr>
              <w:t>1.1, 1.2, 2.1, 2.2, 3.1</w:t>
            </w:r>
          </w:p>
        </w:tc>
        <w:tc>
          <w:tcPr>
            <w:tcW w:type="dxa" w:w="1440"/>
          </w:tcPr>
          <w:p>
            <w:r/>
            <w:r>
              <w:rPr>
                <w:sz w:val="18"/>
              </w:rPr>
              <w:t>18</w:t>
            </w:r>
          </w:p>
        </w:tc>
      </w:tr>
      <w:tr>
        <w:tc>
          <w:tcPr>
            <w:tcW w:type="dxa" w:w="2304"/>
          </w:tcPr>
          <w:p>
            <w:r/>
            <w:r>
              <w:rPr>
                <w:sz w:val="18"/>
              </w:rPr>
              <w:t>PGS Sprint 2</w:t>
            </w:r>
          </w:p>
        </w:tc>
        <w:tc>
          <w:tcPr>
            <w:tcW w:type="dxa" w:w="6048"/>
          </w:tcPr>
          <w:p>
            <w:r/>
            <w:r>
              <w:rPr>
                <w:sz w:val="18"/>
              </w:rPr>
              <w:t>2.4, 3.2, 3.3, 4.1, 4.2</w:t>
            </w:r>
          </w:p>
        </w:tc>
        <w:tc>
          <w:tcPr>
            <w:tcW w:type="dxa" w:w="1440"/>
          </w:tcPr>
          <w:p>
            <w:r/>
            <w:r>
              <w:rPr>
                <w:sz w:val="18"/>
              </w:rPr>
              <w:t>17</w:t>
            </w:r>
          </w:p>
        </w:tc>
      </w:tr>
      <w:tr>
        <w:tc>
          <w:tcPr>
            <w:tcW w:type="dxa" w:w="2304"/>
          </w:tcPr>
          <w:p>
            <w:r/>
            <w:r>
              <w:rPr>
                <w:sz w:val="18"/>
              </w:rPr>
              <w:t>Remaining backlog</w:t>
            </w:r>
          </w:p>
        </w:tc>
        <w:tc>
          <w:tcPr>
            <w:tcW w:type="dxa" w:w="6048"/>
          </w:tcPr>
          <w:p>
            <w:r/>
            <w:r>
              <w:rPr>
                <w:sz w:val="18"/>
              </w:rPr>
              <w:t>1.3, 2.3</w:t>
            </w:r>
          </w:p>
        </w:tc>
        <w:tc>
          <w:tcPr>
            <w:tcW w:type="dxa" w:w="1440"/>
          </w:tcPr>
          <w:p>
            <w:r/>
            <w:r>
              <w:rPr>
                <w:sz w:val="18"/>
              </w:rPr>
              <w:t>6</w:t>
            </w:r>
          </w:p>
        </w:tc>
      </w:tr>
    </w:tbl>
    <w:p>
      <w:pPr>
        <w:spacing w:after="40"/>
      </w:pPr>
    </w:p>
    <w:p>
      <w:pPr>
        <w:spacing w:before="160" w:after="40"/>
      </w:pPr>
      <w:r>
        <w:rPr>
          <w:b/>
          <w:color w:val="1F3A68"/>
          <w:sz w:val="26"/>
        </w:rPr>
        <w:t>1. Did your estimations reflect the actual effort?</w:t>
      </w:r>
    </w:p>
    <w:p>
      <w:r>
        <w:rPr/>
        <w:t>Mostly. The external calendar integration (2.2, 5 points) and slot booking with holds (2.1, 5 points) carried the most uncertainty and stayed In Progress longest. Small form stories such as 1.2 Block Dates and 3.2 Biography Links moved to Done quickly, matching their 1-2 point estimates. Time-zone handling (1.3) is the story most likely to be underestimated because of daylight-saving edge cases.</w:t>
      </w:r>
    </w:p>
    <w:p>
      <w:pPr>
        <w:spacing w:before="160" w:after="40"/>
      </w:pPr>
      <w:r>
        <w:rPr>
          <w:b/>
          <w:color w:val="1F3A68"/>
          <w:sz w:val="26"/>
        </w:rPr>
        <w:t>2. Was your backlog well-prioritised?</w:t>
      </w:r>
    </w:p>
    <w:p>
      <w:r>
        <w:rPr/>
        <w:t>Yes. Sprint 1 holds only what is needed for one complete booking: publish slots, block dates, book a slot, submit talking points and send the invite. The host-side production features (episode board, run-of-show, PDF) and link security followed in Sprint 2, and nice-to-have items (waitlist, time-zone display) stayed in the backlog.</w:t>
      </w:r>
    </w:p>
    <w:p>
      <w:pPr>
        <w:spacing w:before="160" w:after="40"/>
      </w:pPr>
      <w:r>
        <w:rPr>
          <w:b/>
          <w:color w:val="1F3A68"/>
          <w:sz w:val="26"/>
        </w:rPr>
        <w:t>3. How did your simulated sprint align with your plan?</w:t>
      </w:r>
    </w:p>
    <w:p>
      <w:r>
        <w:rPr/>
        <w:t>Both sprints were run in Jira and completed with every committed story Done (18 of 18 points in PGS Sprint 1, 17 of 17 points in PGS Sprint 2), and the 2 backlog stories (1.3, 2.3) stayed out of scope as planned. Stories were moved To Do -&gt; In Progress -&gt; Done in priority order, so the order of completion matched the plan. The difference from a real sprint is time: the simulation finished each sprint within minutes on day 1 instead of across the 1-week time box.</w:t>
      </w:r>
    </w:p>
    <w:p>
      <w:pPr>
        <w:spacing w:before="160" w:after="40"/>
      </w:pPr>
      <w:r>
        <w:rPr>
          <w:b/>
          <w:color w:val="1F3A68"/>
          <w:sz w:val="26"/>
        </w:rPr>
        <w:t>4. What insights did the burndown chart give about your team's capacity?</w:t>
      </w:r>
    </w:p>
    <w:p>
      <w:r>
        <w:rPr/>
        <w:t>In both charts the red Remaining Values line falls from the committed total (18 and 17 points) to 0 at the very start of the sprint, far below the grey guideline that assumes steady progress over the week; the hatched area is the weekend (non-working days). The chart therefore shows no scope creep - the total never rose - and that the committed work was completed. Because all work was finished in one sitting, the chart cannot measure real daily capacity; in a real sprint, finishing this far ahead of the guideline would be a sign of under-commitment. The 5-point stories produced the largest single drops, so splitting them would give a smoother, more informative burndown. Planned velocity is about 18 points per sprint, so the remaining 6 points fit easily into Sprint 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