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Data Visualization Project Proposal: Power vs Efficiency</w:t>
      </w:r>
    </w:p>
    <w:p w:rsidR="00000000" w:rsidDel="00000000" w:rsidP="00000000" w:rsidRDefault="00000000" w:rsidRPr="00000000" w14:paraId="00000002">
      <w:pPr>
        <w:pStyle w:val="Heading2"/>
        <w:spacing w:before="0" w:lineRule="auto"/>
        <w:rPr/>
      </w:pPr>
      <w:r w:rsidDel="00000000" w:rsidR="00000000" w:rsidRPr="00000000">
        <w:rPr>
          <w:rtl w:val="0"/>
        </w:rPr>
        <w:t xml:space="preserve">Who?</w:t>
      </w:r>
    </w:p>
    <w:p w:rsidR="00000000" w:rsidDel="00000000" w:rsidP="00000000" w:rsidRDefault="00000000" w:rsidRPr="00000000" w14:paraId="00000003">
      <w:pPr>
        <w:rPr/>
      </w:pPr>
      <w:r w:rsidDel="00000000" w:rsidR="00000000" w:rsidRPr="00000000">
        <w:rPr>
          <w:rtl w:val="0"/>
        </w:rPr>
        <w:t xml:space="preserve">Team Members: Aryan Wadhwa, Jiin Min, Nylea Murdock</w:t>
      </w:r>
    </w:p>
    <w:p w:rsidR="00000000" w:rsidDel="00000000" w:rsidP="00000000" w:rsidRDefault="00000000" w:rsidRPr="00000000" w14:paraId="00000004">
      <w:pPr>
        <w:rPr/>
      </w:pPr>
      <w:r w:rsidDel="00000000" w:rsidR="00000000" w:rsidRPr="00000000">
        <w:rPr>
          <w:rtl w:val="0"/>
        </w:rPr>
        <w:t xml:space="preserve">Each member will be responsible for creating at least one visualization per dataset, ensuring that every student’s contribution is equivalent to the workload of an individual final project. Together, we will collaborate to design visualizations that not only highlight individual insights from each dataset but also reveal a broader story about how the two datasets or markets differ. Our joint effort will emphasize both technical accuracy and narrative clarity.</w:t>
      </w:r>
    </w:p>
    <w:p w:rsidR="00000000" w:rsidDel="00000000" w:rsidP="00000000" w:rsidRDefault="00000000" w:rsidRPr="00000000" w14:paraId="00000005">
      <w:pPr>
        <w:pStyle w:val="Heading2"/>
        <w:spacing w:before="0" w:lineRule="auto"/>
        <w:rPr/>
      </w:pPr>
      <w:r w:rsidDel="00000000" w:rsidR="00000000" w:rsidRPr="00000000">
        <w:rPr>
          <w:rtl w:val="0"/>
        </w:rPr>
        <w:t xml:space="preserve">What?</w:t>
      </w:r>
    </w:p>
    <w:p w:rsidR="00000000" w:rsidDel="00000000" w:rsidP="00000000" w:rsidRDefault="00000000" w:rsidRPr="00000000" w14:paraId="00000006">
      <w:pPr>
        <w:spacing w:after="0" w:lineRule="auto"/>
        <w:rPr/>
      </w:pPr>
      <w:r w:rsidDel="00000000" w:rsidR="00000000" w:rsidRPr="00000000">
        <w:rPr>
          <w:rtl w:val="0"/>
        </w:rPr>
        <w:t xml:space="preserve">We will visualize and analyze the evolution of performance and efficiency in the automobile market from 2000 to 2025 using two distinct datasets:</w:t>
        <w:br w:type="textWrapping"/>
        <w:br w:type="textWrapping"/>
        <w:t xml:space="preserve">1. Sports Car Dataset (</w:t>
      </w:r>
      <w:hyperlink r:id="rId7">
        <w:r w:rsidDel="00000000" w:rsidR="00000000" w:rsidRPr="00000000">
          <w:rPr>
            <w:color w:val="1155cc"/>
            <w:u w:val="single"/>
            <w:rtl w:val="0"/>
          </w:rPr>
          <w:t xml:space="preserve">Kaggle</w:t>
        </w:r>
      </w:hyperlink>
      <w:r w:rsidDel="00000000" w:rsidR="00000000" w:rsidRPr="00000000">
        <w:rPr>
          <w:rtl w:val="0"/>
        </w:rPr>
        <w:t xml:space="preserve">)</w:t>
      </w:r>
    </w:p>
    <w:p w:rsidR="00000000" w:rsidDel="00000000" w:rsidP="00000000" w:rsidRDefault="00000000" w:rsidRPr="00000000" w14:paraId="00000007">
      <w:pPr>
        <w:spacing w:after="0" w:lineRule="auto"/>
        <w:rPr/>
      </w:pPr>
      <w:r w:rsidDel="00000000" w:rsidR="00000000" w:rsidRPr="00000000">
        <w:rPr>
          <w:rtl w:val="0"/>
        </w:rPr>
        <w:t xml:space="preserve">Focuses on high-end sports cars, including fields such as Car Make, Car Model, Year, Engine Size (L), Horsepower, Torque (lb-ft), 0–60 MPH Time (seconds), and Price (USD). This dataset captures the performance and luxury side of the market.</w:t>
        <w:br w:type="textWrapping"/>
        <w:br w:type="textWrapping"/>
        <w:t xml:space="preserve">2. EPA All Vehicles Dataset (</w:t>
      </w:r>
      <w:hyperlink r:id="rId8">
        <w:r w:rsidDel="00000000" w:rsidR="00000000" w:rsidRPr="00000000">
          <w:rPr>
            <w:color w:val="1155cc"/>
            <w:u w:val="single"/>
            <w:rtl w:val="0"/>
          </w:rPr>
          <w:t xml:space="preserve">data.opendatasoft.com</w:t>
        </w:r>
      </w:hyperlink>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Focuses on everyday vehicles and their fuel economy, with fields such as Make, Model, Year, Engine Displacement, Fuel Type, Combined MPG, and CO₂ Emissions. This dataset captures the efficiency and environmental side of the market.</w:t>
        <w:br w:type="textWrapping"/>
        <w:br w:type="textWrapping"/>
        <w:t xml:space="preserve">Preprocessing will involve cleaning semicolon-separated fields, filtering to relevant columns, handling missing data, and aggregating averages by year. Both datasets will be kept separate but synchronized on the Year dimension to allow parallel comparisons.</w:t>
      </w:r>
    </w:p>
    <w:p w:rsidR="00000000" w:rsidDel="00000000" w:rsidP="00000000" w:rsidRDefault="00000000" w:rsidRPr="00000000" w14:paraId="00000009">
      <w:pPr>
        <w:pStyle w:val="Heading2"/>
        <w:rPr/>
      </w:pPr>
      <w:r w:rsidDel="00000000" w:rsidR="00000000" w:rsidRPr="00000000">
        <w:rPr>
          <w:rtl w:val="0"/>
        </w:rPr>
        <w:t xml:space="preserve">Why?</w:t>
      </w:r>
    </w:p>
    <w:p w:rsidR="00000000" w:rsidDel="00000000" w:rsidP="00000000" w:rsidRDefault="00000000" w:rsidRPr="00000000" w14:paraId="0000000A">
      <w:pPr>
        <w:rPr/>
      </w:pPr>
      <w:r w:rsidDel="00000000" w:rsidR="00000000" w:rsidRPr="00000000">
        <w:rPr>
          <w:rtl w:val="0"/>
        </w:rPr>
        <w:t xml:space="preserve">The goal of our project is to tell a comparative story: how sports cars and economy vehicles have evolved along opposite trajectories. Higher-end cars prioritizing speed and luxury, and economy vehicles efficiency and sustainability—and how/if those worlds are now beginning to converge.</w:t>
        <w:br w:type="textWrapping"/>
        <w:br w:type="textWrapping"/>
        <w:t xml:space="preserve">Through visualization, we aim to answer questions such as:</w:t>
        <w:br w:type="textWrapping"/>
        <w:t xml:space="preserve">• How have horsepower, price, and engine size in sports cars changed from 2000 to 2025?</w:t>
        <w:br w:type="textWrapping"/>
        <w:t xml:space="preserve">• How have fuel efficiency, emissions, and engine displacement in economy cars changed in the same period?</w:t>
        <w:br w:type="textWrapping"/>
        <w:t xml:space="preserve">• Are the two markets beginning to overlap (e.g., electric sports cars like Tesla or Porsche Taycan)?</w:t>
        <w:br w:type="textWrapping"/>
        <w:br w:type="textWrapping"/>
        <w:t xml:space="preserve">This analysis provides a compelling visual story about technological evolution and changing consumer priorities in the automotive industry.</w:t>
      </w:r>
    </w:p>
    <w:p w:rsidR="00000000" w:rsidDel="00000000" w:rsidP="00000000" w:rsidRDefault="00000000" w:rsidRPr="00000000" w14:paraId="0000000B">
      <w:pPr>
        <w:pStyle w:val="Heading2"/>
        <w:rPr>
          <w:sz w:val="28"/>
          <w:szCs w:val="28"/>
        </w:rPr>
      </w:pPr>
      <w:r w:rsidDel="00000000" w:rsidR="00000000" w:rsidRPr="00000000">
        <w:rPr>
          <w:sz w:val="28"/>
          <w:szCs w:val="28"/>
          <w:rtl w:val="0"/>
        </w:rPr>
        <w:t xml:space="preserve">How?</w:t>
      </w:r>
    </w:p>
    <w:p w:rsidR="00000000" w:rsidDel="00000000" w:rsidP="00000000" w:rsidRDefault="00000000" w:rsidRPr="00000000" w14:paraId="0000000C">
      <w:pPr>
        <w:rPr/>
      </w:pPr>
      <w:r w:rsidDel="00000000" w:rsidR="00000000" w:rsidRPr="00000000">
        <w:rPr>
          <w:rtl w:val="0"/>
        </w:rPr>
        <w:t xml:space="preserve">We will build an interactive, narrative visualization that lets users compare two markets side-by-side and trace how priorities evolve over time. The experience is organized into three acts, each with clear questions, chart types, and interactions.</w:t>
      </w:r>
    </w:p>
    <w:p w:rsidR="00000000" w:rsidDel="00000000" w:rsidP="00000000" w:rsidRDefault="00000000" w:rsidRPr="00000000" w14:paraId="0000000D">
      <w:pPr>
        <w:pStyle w:val="Heading3"/>
        <w:rPr/>
      </w:pPr>
      <w:bookmarkStart w:colFirst="0" w:colLast="0" w:name="_heading=h.d09zt6k2cs2z" w:id="0"/>
      <w:bookmarkEnd w:id="0"/>
      <w:r w:rsidDel="00000000" w:rsidR="00000000" w:rsidRPr="00000000">
        <w:rPr>
          <w:rtl w:val="0"/>
        </w:rPr>
        <w:t xml:space="preserve">Overall design &amp; UI</w:t>
      </w:r>
    </w:p>
    <w:p w:rsidR="00000000" w:rsidDel="00000000" w:rsidP="00000000" w:rsidRDefault="00000000" w:rsidRPr="00000000" w14:paraId="0000000E">
      <w:pPr>
        <w:numPr>
          <w:ilvl w:val="0"/>
          <w:numId w:val="5"/>
        </w:numPr>
        <w:spacing w:after="0" w:lineRule="auto"/>
        <w:ind w:left="720" w:hanging="360"/>
      </w:pPr>
      <w:r w:rsidDel="00000000" w:rsidR="00000000" w:rsidRPr="00000000">
        <w:rPr>
          <w:rtl w:val="0"/>
        </w:rPr>
        <w:t xml:space="preserve">Layout: Left sidebar (dataset &amp; filter controls), main canvas (charts), top breadcrumbs (Act 1 → Act 2 → Act 3).</w:t>
      </w:r>
    </w:p>
    <w:p w:rsidR="00000000" w:rsidDel="00000000" w:rsidP="00000000" w:rsidRDefault="00000000" w:rsidRPr="00000000" w14:paraId="0000000F">
      <w:pPr>
        <w:numPr>
          <w:ilvl w:val="0"/>
          <w:numId w:val="5"/>
        </w:numPr>
        <w:spacing w:after="0" w:lineRule="auto"/>
        <w:ind w:left="720" w:hanging="360"/>
      </w:pPr>
      <w:r w:rsidDel="00000000" w:rsidR="00000000" w:rsidRPr="00000000">
        <w:rPr>
          <w:rtl w:val="0"/>
        </w:rPr>
        <w:t xml:space="preserve">Controls: Year range slider, fuel type toggles (gas/hybrid/EV), brand filters, etc.</w:t>
      </w:r>
    </w:p>
    <w:p w:rsidR="00000000" w:rsidDel="00000000" w:rsidP="00000000" w:rsidRDefault="00000000" w:rsidRPr="00000000" w14:paraId="00000010">
      <w:pPr>
        <w:numPr>
          <w:ilvl w:val="0"/>
          <w:numId w:val="5"/>
        </w:numPr>
        <w:spacing w:after="0" w:lineRule="auto"/>
        <w:ind w:left="720" w:hanging="360"/>
      </w:pPr>
      <w:r w:rsidDel="00000000" w:rsidR="00000000" w:rsidRPr="00000000">
        <w:rPr>
          <w:rtl w:val="0"/>
        </w:rPr>
        <w:t xml:space="preserve">Interactions: Hover tooltips, legend click to isolate series, and downloadable PNG/CSV per view.</w:t>
      </w:r>
    </w:p>
    <w:p w:rsidR="00000000" w:rsidDel="00000000" w:rsidP="00000000" w:rsidRDefault="00000000" w:rsidRPr="00000000" w14:paraId="00000011">
      <w:pPr>
        <w:pStyle w:val="Heading3"/>
        <w:rPr/>
      </w:pPr>
      <w:bookmarkStart w:colFirst="0" w:colLast="0" w:name="_heading=h.d6yhs1asqfob" w:id="1"/>
      <w:bookmarkEnd w:id="1"/>
      <w:r w:rsidDel="00000000" w:rsidR="00000000" w:rsidRPr="00000000">
        <w:rPr>
          <w:rtl w:val="0"/>
        </w:rPr>
        <w:t xml:space="preserve">Narrative flow (three acts)</w:t>
      </w:r>
    </w:p>
    <w:p w:rsidR="00000000" w:rsidDel="00000000" w:rsidP="00000000" w:rsidRDefault="00000000" w:rsidRPr="00000000" w14:paraId="00000012">
      <w:pPr>
        <w:spacing w:after="0" w:lineRule="auto"/>
        <w:rPr/>
      </w:pPr>
      <w:r w:rsidDel="00000000" w:rsidR="00000000" w:rsidRPr="00000000">
        <w:rPr>
          <w:rtl w:val="0"/>
        </w:rPr>
        <w:t xml:space="preserve">Act 1 – Diverging Priorities</w:t>
      </w:r>
    </w:p>
    <w:p w:rsidR="00000000" w:rsidDel="00000000" w:rsidP="00000000" w:rsidRDefault="00000000" w:rsidRPr="00000000" w14:paraId="00000013">
      <w:pPr>
        <w:numPr>
          <w:ilvl w:val="0"/>
          <w:numId w:val="2"/>
        </w:numPr>
        <w:spacing w:after="0" w:lineRule="auto"/>
        <w:ind w:left="720" w:hanging="360"/>
      </w:pPr>
      <w:r w:rsidDel="00000000" w:rsidR="00000000" w:rsidRPr="00000000">
        <w:rPr>
          <w:rtl w:val="0"/>
        </w:rPr>
        <w:t xml:space="preserve">Charts: Line charts (yearly averages) with small multiples:</w:t>
      </w:r>
    </w:p>
    <w:p w:rsidR="00000000" w:rsidDel="00000000" w:rsidP="00000000" w:rsidRDefault="00000000" w:rsidRPr="00000000" w14:paraId="00000014">
      <w:pPr>
        <w:numPr>
          <w:ilvl w:val="1"/>
          <w:numId w:val="2"/>
        </w:numPr>
        <w:spacing w:after="0" w:lineRule="auto"/>
        <w:ind w:left="1440" w:hanging="360"/>
      </w:pPr>
      <w:r w:rsidDel="00000000" w:rsidR="00000000" w:rsidRPr="00000000">
        <w:rPr>
          <w:rtl w:val="0"/>
        </w:rPr>
        <w:t xml:space="preserve">Sports cars: Avg Horsepower, Engine Size, Price vs. year</w:t>
      </w:r>
    </w:p>
    <w:p w:rsidR="00000000" w:rsidDel="00000000" w:rsidP="00000000" w:rsidRDefault="00000000" w:rsidRPr="00000000" w14:paraId="00000015">
      <w:pPr>
        <w:numPr>
          <w:ilvl w:val="1"/>
          <w:numId w:val="2"/>
        </w:numPr>
        <w:spacing w:after="0" w:lineRule="auto"/>
        <w:ind w:left="1440" w:hanging="360"/>
      </w:pPr>
      <w:r w:rsidDel="00000000" w:rsidR="00000000" w:rsidRPr="00000000">
        <w:rPr>
          <w:rtl w:val="0"/>
        </w:rPr>
        <w:t xml:space="preserve">Economy cars: Avg Combined MPG, CO₂ Emissions, Engine Displacement vs. year</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Goal: Establish the baseline split between performance and efficiency.</w:t>
        <w:br w:type="textWrapping"/>
      </w:r>
    </w:p>
    <w:p w:rsidR="00000000" w:rsidDel="00000000" w:rsidP="00000000" w:rsidRDefault="00000000" w:rsidRPr="00000000" w14:paraId="00000017">
      <w:pPr>
        <w:spacing w:after="0" w:lineRule="auto"/>
        <w:rPr/>
      </w:pPr>
      <w:r w:rsidDel="00000000" w:rsidR="00000000" w:rsidRPr="00000000">
        <w:rPr>
          <w:rtl w:val="0"/>
        </w:rPr>
        <w:t xml:space="preserve">Act 2 - Rise of Electrification</w:t>
      </w:r>
    </w:p>
    <w:p w:rsidR="00000000" w:rsidDel="00000000" w:rsidP="00000000" w:rsidRDefault="00000000" w:rsidRPr="00000000" w14:paraId="00000018">
      <w:pPr>
        <w:numPr>
          <w:ilvl w:val="0"/>
          <w:numId w:val="3"/>
        </w:numPr>
        <w:spacing w:after="0" w:lineRule="auto"/>
        <w:ind w:left="720" w:hanging="360"/>
      </w:pPr>
      <w:r w:rsidDel="00000000" w:rsidR="00000000" w:rsidRPr="00000000">
        <w:rPr>
          <w:rtl w:val="0"/>
        </w:rPr>
        <w:t xml:space="preserve">Charts: Highlighted scatter plots (performance vs. efficiency metrics) and stacked area charts (fuel type share by year).</w:t>
      </w:r>
    </w:p>
    <w:p w:rsidR="00000000" w:rsidDel="00000000" w:rsidP="00000000" w:rsidRDefault="00000000" w:rsidRPr="00000000" w14:paraId="00000019">
      <w:pPr>
        <w:numPr>
          <w:ilvl w:val="0"/>
          <w:numId w:val="3"/>
        </w:numPr>
        <w:spacing w:after="0" w:lineRule="auto"/>
        <w:ind w:left="720" w:hanging="360"/>
      </w:pPr>
      <w:r w:rsidDel="00000000" w:rsidR="00000000" w:rsidRPr="00000000">
        <w:rPr>
          <w:rtl w:val="0"/>
        </w:rPr>
        <w:t xml:space="preserve">Details:</w:t>
      </w:r>
    </w:p>
    <w:p w:rsidR="00000000" w:rsidDel="00000000" w:rsidP="00000000" w:rsidRDefault="00000000" w:rsidRPr="00000000" w14:paraId="0000001A">
      <w:pPr>
        <w:numPr>
          <w:ilvl w:val="1"/>
          <w:numId w:val="3"/>
        </w:numPr>
        <w:spacing w:after="0" w:lineRule="auto"/>
        <w:ind w:left="1440" w:hanging="360"/>
      </w:pPr>
      <w:r w:rsidDel="00000000" w:rsidR="00000000" w:rsidRPr="00000000">
        <w:rPr>
          <w:rtl w:val="0"/>
        </w:rPr>
        <w:t xml:space="preserve">EPA dataset: fuel mix over time (gas/hybrid/EV).</w:t>
      </w:r>
    </w:p>
    <w:p w:rsidR="00000000" w:rsidDel="00000000" w:rsidP="00000000" w:rsidRDefault="00000000" w:rsidRPr="00000000" w14:paraId="0000001B">
      <w:pPr>
        <w:numPr>
          <w:ilvl w:val="1"/>
          <w:numId w:val="3"/>
        </w:numPr>
        <w:spacing w:after="0" w:lineRule="auto"/>
        <w:ind w:left="1440" w:hanging="360"/>
      </w:pPr>
      <w:r w:rsidDel="00000000" w:rsidR="00000000" w:rsidRPr="00000000">
        <w:rPr>
          <w:rtl w:val="0"/>
        </w:rPr>
        <w:t xml:space="preserve">Sports dataset: flag EV/hybrid models (e.g., Taycan, Tesla) to show convergence.</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Goal: Show how technology starts bridging the gap.</w:t>
        <w:br w:type="textWrapping"/>
      </w:r>
    </w:p>
    <w:p w:rsidR="00000000" w:rsidDel="00000000" w:rsidP="00000000" w:rsidRDefault="00000000" w:rsidRPr="00000000" w14:paraId="0000001D">
      <w:pPr>
        <w:spacing w:after="0" w:lineRule="auto"/>
        <w:rPr/>
      </w:pPr>
      <w:r w:rsidDel="00000000" w:rsidR="00000000" w:rsidRPr="00000000">
        <w:rPr>
          <w:rtl w:val="0"/>
        </w:rPr>
        <w:t xml:space="preserve">Act 3 – Convergence or Coexistence?</w:t>
      </w:r>
    </w:p>
    <w:p w:rsidR="00000000" w:rsidDel="00000000" w:rsidP="00000000" w:rsidRDefault="00000000" w:rsidRPr="00000000" w14:paraId="0000001E">
      <w:pPr>
        <w:numPr>
          <w:ilvl w:val="0"/>
          <w:numId w:val="1"/>
        </w:numPr>
        <w:spacing w:after="0" w:lineRule="auto"/>
        <w:ind w:left="720" w:hanging="360"/>
      </w:pPr>
      <w:r w:rsidDel="00000000" w:rsidR="00000000" w:rsidRPr="00000000">
        <w:rPr>
          <w:rtl w:val="0"/>
        </w:rPr>
        <w:t xml:space="preserve">Charts: Dual-axis time series (HP vs. MPG), simple cluster plots (e.g., k-means on HP, torque, weight, MPG), and a comparison table (key averages/trends).</w:t>
      </w:r>
    </w:p>
    <w:p w:rsidR="00000000" w:rsidDel="00000000" w:rsidP="00000000" w:rsidRDefault="00000000" w:rsidRPr="00000000" w14:paraId="0000001F">
      <w:pPr>
        <w:numPr>
          <w:ilvl w:val="0"/>
          <w:numId w:val="1"/>
        </w:numPr>
        <w:spacing w:after="0" w:lineRule="auto"/>
        <w:ind w:left="720" w:hanging="360"/>
      </w:pPr>
      <w:r w:rsidDel="00000000" w:rsidR="00000000" w:rsidRPr="00000000">
        <w:rPr>
          <w:rtl w:val="0"/>
        </w:rPr>
        <w:t xml:space="preserve">Highlights: “Bridge” brands (Tesla, BMW i-series) that score on both axes.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Goal: Test the thesis that performance and efficiency are no longer mutually exclusive.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8ocaoke2ke7d" w:id="2"/>
      <w:bookmarkEnd w:id="2"/>
      <w:r w:rsidDel="00000000" w:rsidR="00000000" w:rsidRPr="00000000">
        <w:rPr>
          <w:rtl w:val="0"/>
        </w:rPr>
        <w:t xml:space="preserve">Implementation plan (libraries &amp; prior code)</w:t>
      </w:r>
    </w:p>
    <w:p w:rsidR="00000000" w:rsidDel="00000000" w:rsidP="00000000" w:rsidRDefault="00000000" w:rsidRPr="00000000" w14:paraId="00000026">
      <w:pPr>
        <w:spacing w:after="0" w:lineRule="auto"/>
        <w:rPr/>
      </w:pPr>
      <w:r w:rsidDel="00000000" w:rsidR="00000000" w:rsidRPr="00000000">
        <w:rPr>
          <w:rtl w:val="0"/>
        </w:rPr>
        <w:t xml:space="preserve">Data preprocessing: Python + Pandas (groupby, joins, outlier handling, standardization).</w:t>
      </w:r>
    </w:p>
    <w:p w:rsidR="00000000" w:rsidDel="00000000" w:rsidP="00000000" w:rsidRDefault="00000000" w:rsidRPr="00000000" w14:paraId="00000027">
      <w:pPr>
        <w:rPr/>
      </w:pPr>
      <w:r w:rsidDel="00000000" w:rsidR="00000000" w:rsidRPr="00000000">
        <w:rPr>
          <w:rtl w:val="0"/>
        </w:rPr>
        <w:t xml:space="preserve">Charts &amp; interactivity (two viable paths):</w:t>
      </w:r>
    </w:p>
    <w:p w:rsidR="00000000" w:rsidDel="00000000" w:rsidP="00000000" w:rsidRDefault="00000000" w:rsidRPr="00000000" w14:paraId="00000028">
      <w:pPr>
        <w:pStyle w:val="Heading3"/>
        <w:rPr/>
      </w:pPr>
      <w:bookmarkStart w:colFirst="0" w:colLast="0" w:name="_heading=h.8ypf2c74do3t" w:id="3"/>
      <w:bookmarkEnd w:id="3"/>
      <w:r w:rsidDel="00000000" w:rsidR="00000000" w:rsidRPr="00000000">
        <w:rPr>
          <w:rtl w:val="0"/>
        </w:rPr>
        <w:t xml:space="preserve">1) Lightweight, course-native interactive app</w:t>
      </w:r>
    </w:p>
    <w:p w:rsidR="00000000" w:rsidDel="00000000" w:rsidP="00000000" w:rsidRDefault="00000000" w:rsidRPr="00000000" w14:paraId="00000029">
      <w:pPr>
        <w:numPr>
          <w:ilvl w:val="0"/>
          <w:numId w:val="4"/>
        </w:numPr>
        <w:spacing w:after="0" w:lineRule="auto"/>
        <w:ind w:left="720" w:hanging="360"/>
      </w:pPr>
      <w:r w:rsidDel="00000000" w:rsidR="00000000" w:rsidRPr="00000000">
        <w:rPr>
          <w:rtl w:val="0"/>
        </w:rPr>
        <w:t xml:space="preserve">Libraries used this semester:</w:t>
      </w:r>
    </w:p>
    <w:p w:rsidR="00000000" w:rsidDel="00000000" w:rsidP="00000000" w:rsidRDefault="00000000" w:rsidRPr="00000000" w14:paraId="0000002A">
      <w:pPr>
        <w:numPr>
          <w:ilvl w:val="1"/>
          <w:numId w:val="4"/>
        </w:numPr>
        <w:spacing w:after="0" w:lineRule="auto"/>
        <w:ind w:left="1440" w:hanging="360"/>
      </w:pPr>
      <w:r w:rsidDel="00000000" w:rsidR="00000000" w:rsidRPr="00000000">
        <w:rPr>
          <w:rtl w:val="0"/>
        </w:rPr>
        <w:t xml:space="preserve">numpy, pandas, matplotlib (QtAgg backend, NavigationToolbar2QT, RectangleSelector), PyQt6 (QtWidgets, QtCore), plus argparse.</w:t>
      </w:r>
    </w:p>
    <w:p w:rsidR="00000000" w:rsidDel="00000000" w:rsidP="00000000" w:rsidRDefault="00000000" w:rsidRPr="00000000" w14:paraId="0000002B">
      <w:pPr>
        <w:numPr>
          <w:ilvl w:val="0"/>
          <w:numId w:val="4"/>
        </w:numPr>
        <w:spacing w:after="0" w:lineRule="auto"/>
        <w:ind w:left="720" w:hanging="360"/>
      </w:pPr>
      <w:r w:rsidDel="00000000" w:rsidR="00000000" w:rsidRPr="00000000">
        <w:rPr>
          <w:rtl w:val="0"/>
        </w:rPr>
        <w:t xml:space="preserve">What we’ll build: A PyQt6 desktop app with a QTabWidget (Act 1–3), FigureCanvas for Matplotlib plots, year/fuel/brand controls, hover/pick events, legend isolate, and RectangleSelector for brush-and-link selection.</w:t>
      </w:r>
    </w:p>
    <w:p w:rsidR="00000000" w:rsidDel="00000000" w:rsidP="00000000" w:rsidRDefault="00000000" w:rsidRPr="00000000" w14:paraId="0000002C">
      <w:pPr>
        <w:numPr>
          <w:ilvl w:val="0"/>
          <w:numId w:val="4"/>
        </w:numPr>
        <w:spacing w:after="0" w:lineRule="auto"/>
        <w:ind w:left="720" w:hanging="360"/>
      </w:pPr>
      <w:r w:rsidDel="00000000" w:rsidR="00000000" w:rsidRPr="00000000">
        <w:rPr>
          <w:rtl w:val="0"/>
        </w:rPr>
        <w:t xml:space="preserve">Reuse of prior code: Matplotlib plotting utilities, Pandas transform patterns, etc.</w:t>
      </w:r>
    </w:p>
    <w:p w:rsidR="00000000" w:rsidDel="00000000" w:rsidP="00000000" w:rsidRDefault="00000000" w:rsidRPr="00000000" w14:paraId="0000002D">
      <w:pPr>
        <w:numPr>
          <w:ilvl w:val="0"/>
          <w:numId w:val="4"/>
        </w:numPr>
        <w:spacing w:after="0" w:lineRule="auto"/>
        <w:ind w:left="720" w:hanging="360"/>
      </w:pPr>
      <w:r w:rsidDel="00000000" w:rsidR="00000000" w:rsidRPr="00000000">
        <w:rPr>
          <w:rtl w:val="0"/>
        </w:rPr>
        <w:t xml:space="preserve">Exports: One-click PNG of the current figure and CSV of the aggregated table.</w:t>
        <w:br w:type="textWrapping"/>
      </w:r>
    </w:p>
    <w:p w:rsidR="00000000" w:rsidDel="00000000" w:rsidP="00000000" w:rsidRDefault="00000000" w:rsidRPr="00000000" w14:paraId="0000002E">
      <w:pPr>
        <w:pStyle w:val="Heading3"/>
        <w:spacing w:before="0" w:lineRule="auto"/>
        <w:rPr/>
      </w:pPr>
      <w:bookmarkStart w:colFirst="0" w:colLast="0" w:name="_heading=h.zafd5vqledsv" w:id="4"/>
      <w:bookmarkEnd w:id="4"/>
      <w:r w:rsidDel="00000000" w:rsidR="00000000" w:rsidRPr="00000000">
        <w:rPr>
          <w:rtl w:val="0"/>
        </w:rPr>
        <w:t xml:space="preserve">2) Full web dashboard</w:t>
      </w:r>
    </w:p>
    <w:p w:rsidR="00000000" w:rsidDel="00000000" w:rsidP="00000000" w:rsidRDefault="00000000" w:rsidRPr="00000000" w14:paraId="0000002F">
      <w:pPr>
        <w:numPr>
          <w:ilvl w:val="0"/>
          <w:numId w:val="6"/>
        </w:numPr>
        <w:spacing w:after="0" w:lineRule="auto"/>
        <w:ind w:left="720" w:hanging="360"/>
      </w:pPr>
      <w:r w:rsidDel="00000000" w:rsidR="00000000" w:rsidRPr="00000000">
        <w:rPr>
          <w:rtl w:val="0"/>
        </w:rPr>
        <w:t xml:space="preserve">Front end: React + Plotly.js (or ECharts) for interactive charts; same Pandas preprocessing, outputting clean CSV/Parquet consumed by the app.</w:t>
      </w:r>
    </w:p>
    <w:p w:rsidR="00000000" w:rsidDel="00000000" w:rsidP="00000000" w:rsidRDefault="00000000" w:rsidRPr="00000000" w14:paraId="00000030">
      <w:pPr>
        <w:numPr>
          <w:ilvl w:val="0"/>
          <w:numId w:val="6"/>
        </w:numPr>
        <w:spacing w:after="0" w:lineRule="auto"/>
        <w:ind w:left="720" w:hanging="360"/>
      </w:pPr>
      <w:r w:rsidDel="00000000" w:rsidR="00000000" w:rsidRPr="00000000">
        <w:rPr>
          <w:rtl w:val="0"/>
        </w:rPr>
        <w:t xml:space="preserve">Features parity: Tabs for Acts, filters (year/fuel/brand), hover, legend isolate, and downloadable images/tables; brand highlighting and EV/hybrid emphasis replicated in Plotly.</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Pros/cons: Polished, shareable product and UI flexibility; higher engineering effort and time compared to the course-native app.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Timeline</w:t>
      </w:r>
    </w:p>
    <w:p w:rsidR="00000000" w:rsidDel="00000000" w:rsidP="00000000" w:rsidRDefault="00000000" w:rsidRPr="00000000" w14:paraId="00000034">
      <w:pPr>
        <w:rPr/>
      </w:pPr>
      <w:r w:rsidDel="00000000" w:rsidR="00000000" w:rsidRPr="00000000">
        <w:rPr>
          <w:rtl w:val="0"/>
        </w:rPr>
        <w:t xml:space="preserve">Week 1 (Nov 4 – Nov 11): Data acquisition, initial cleaning, exploratory analysis.</w:t>
        <w:br w:type="textWrapping"/>
        <w:t xml:space="preserve">Week 2 (Nov 11 – Nov 18): Feature selection, compute yearly aggregates, progress report submission.</w:t>
        <w:br w:type="textWrapping"/>
        <w:t xml:space="preserve">Week 3 (Nov 18 – Nov 25): Design visual wireframes and implement base dashboard.</w:t>
        <w:br w:type="textWrapping"/>
        <w:t xml:space="preserve">Week 4 (Nov 25 – Dec 2): Add interactivity, filtering, and annotation layers.</w:t>
        <w:br w:type="textWrapping"/>
        <w:t xml:space="preserve">Week 5 (Dec 2 – Dec 9): Build comparison charts (dual-axis and highlight EVs).</w:t>
        <w:br w:type="textWrapping"/>
        <w:t xml:space="preserve">Week 6 (Dec 9 – Dec 16): Final polish, testing, and presentation preparation.</w:t>
      </w:r>
    </w:p>
    <w:p w:rsidR="00000000" w:rsidDel="00000000" w:rsidP="00000000" w:rsidRDefault="00000000" w:rsidRPr="00000000" w14:paraId="00000035">
      <w:pPr>
        <w:pStyle w:val="Heading2"/>
        <w:rPr/>
      </w:pPr>
      <w:r w:rsidDel="00000000" w:rsidR="00000000" w:rsidRPr="00000000">
        <w:rPr>
          <w:rtl w:val="0"/>
        </w:rPr>
        <w:t xml:space="preserve">Contingency Plan</w:t>
      </w:r>
    </w:p>
    <w:p w:rsidR="00000000" w:rsidDel="00000000" w:rsidP="00000000" w:rsidRDefault="00000000" w:rsidRPr="00000000" w14:paraId="00000036">
      <w:pPr>
        <w:rPr/>
      </w:pPr>
      <w:r w:rsidDel="00000000" w:rsidR="00000000" w:rsidRPr="00000000">
        <w:rPr>
          <w:rtl w:val="0"/>
        </w:rPr>
        <w:t xml:space="preserve">If merging yearly summaries between datasets proves inconsistent, we will pivot to a side-by-side dashboard layout that displays metrics from each dataset independently but within synchronized time frames. If time constraints arise, we will prioritize the core storytelling elements (timelines and dual-axis comparison) over cluster segmentation. The final deliverable will still effectively communicate the 'Power vs Efficiency' narrative.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DA0A84"/>
    <w:rPr>
      <w:color w:val="0000ff" w:themeColor="hyperlink"/>
      <w:u w:val="single"/>
    </w:rPr>
  </w:style>
  <w:style w:type="character" w:styleId="UnresolvedMention">
    <w:name w:val="Unresolved Mention"/>
    <w:basedOn w:val="DefaultParagraphFont"/>
    <w:uiPriority w:val="99"/>
    <w:semiHidden w:val="1"/>
    <w:unhideWhenUsed w:val="1"/>
    <w:rsid w:val="00DA0A84"/>
    <w:rPr>
      <w:color w:val="605e5c"/>
      <w:shd w:color="auto" w:fill="e1dfdd" w:val="clear"/>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rkiattisak/sports-car-prices-dataset?resource=download" TargetMode="External"/><Relationship Id="rId8" Type="http://schemas.openxmlformats.org/officeDocument/2006/relationships/hyperlink" Target="https://hub.huwise.com/explore/assets/all-vehicles-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63uDBVTxrMQA4bHZhq+lG+unUQ==">CgMxLjAyDmguZDA5enQ2azJjczJ6Mg5oLmQ2eWhzMWFzcWZvYjIOaC44b2Nhb2tlMmtlN2QyDmguOHlwZjJjNzRkbzN0Mg5oLnphZmQ1dnFsZWRzdjgAciExZWhCX1F5aloydmtoSWVOaFNEcmFzZ3duQU1zalQxbnA=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