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0cxskl16jm1" w:id="0"/>
      <w:bookmarkEnd w:id="0"/>
      <w:r w:rsidDel="00000000" w:rsidR="00000000" w:rsidRPr="00000000">
        <w:rPr>
          <w:b w:val="1"/>
          <w:bCs w:val="1"/>
          <w:sz w:val="46"/>
          <w:szCs w:val="46"/>
          <w:rtl w:val="0"/>
        </w:rPr>
        <w:t xml:space="preserve">Final Project Progress Report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j9w40z21ull" w:id="1"/>
      <w:bookmarkEnd w:id="1"/>
      <w:r w:rsidDel="00000000" w:rsidR="00000000" w:rsidRPr="00000000">
        <w:rPr>
          <w:b w:val="1"/>
          <w:bCs w:val="1"/>
          <w:color w:val="000000"/>
          <w:sz w:val="26"/>
          <w:szCs w:val="26"/>
          <w:rtl w:val="0"/>
        </w:rPr>
        <w:t xml:space="preserve">1) Work Completed So Far</w:t>
      </w:r>
    </w:p>
    <w:p w:rsidR="00000000" w:rsidDel="00000000" w:rsidP="00000000" w:rsidRDefault="00000000" w:rsidRPr="00000000" w14:paraId="00000003">
      <w:pPr>
        <w:spacing w:after="240" w:before="240" w:lineRule="auto"/>
        <w:rPr/>
      </w:pPr>
      <w:r w:rsidDel="00000000" w:rsidR="00000000" w:rsidRPr="00000000">
        <w:rPr>
          <w:rtl w:val="0"/>
        </w:rPr>
        <w:t xml:space="preserve">Over the past two weeks, we have completed much of the foundational work outlined in our original proposal. We successfully acquired both datasets, the sports car performance dataset and the EPA all-vehicles dataset, and performed initial cleaning steps to ensure they could be analyzed side-by-side. We inspected the structure of each dataset, resolved delimiter issues in the EPA dataset, converted key fields into numeric formats, and selected a consistent set of relevant variables such as horsepower, engine size, 0–60 time, combined MPG, CO₂ emissions, and fuel type. We also produced early exploratory summaries and identified which metrics can be aggregated annually from each dataset.</w:t>
      </w:r>
    </w:p>
    <w:p w:rsidR="00000000" w:rsidDel="00000000" w:rsidP="00000000" w:rsidRDefault="00000000" w:rsidRPr="00000000" w14:paraId="00000004">
      <w:pPr>
        <w:spacing w:after="240" w:before="240" w:lineRule="auto"/>
        <w:rPr/>
      </w:pPr>
      <w:r w:rsidDel="00000000" w:rsidR="00000000" w:rsidRPr="00000000">
        <w:rPr>
          <w:rtl w:val="0"/>
        </w:rPr>
        <w:t xml:space="preserve">All team members have contributed to this early phase. Aryan focused on loading and validating the EPA dataset, addressing formatting and parsing issues, and defining the first set of annual aggregates. Jiin worked on cleaning and preparing the sports car dataset, especially converting price and performance metrics to usable numeric formats. Nylea contributed by developing the early project outline for the three-act narrative, revising the high-level visualization storyboard, and incorporating instructor feedback into the updated project direction. Together, we clarified definitions of “sports” vs. “economy” vehicles, aligned on market-level (not model-level) comparisons, and reframed convergence as something to test rather than assume.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gaphfg3jabz" w:id="2"/>
      <w:bookmarkEnd w:id="2"/>
      <w:r w:rsidDel="00000000" w:rsidR="00000000" w:rsidRPr="00000000">
        <w:rPr>
          <w:b w:val="1"/>
          <w:bCs w:val="1"/>
          <w:color w:val="000000"/>
          <w:sz w:val="26"/>
          <w:szCs w:val="26"/>
          <w:rtl w:val="0"/>
        </w:rPr>
        <w:t xml:space="preserve">2) Difficulties Encountered</w:t>
      </w:r>
    </w:p>
    <w:p w:rsidR="00000000" w:rsidDel="00000000" w:rsidP="00000000" w:rsidRDefault="00000000" w:rsidRPr="00000000" w14:paraId="00000006">
      <w:pPr>
        <w:spacing w:after="240" w:before="240" w:lineRule="auto"/>
        <w:rPr/>
      </w:pPr>
      <w:r w:rsidDel="00000000" w:rsidR="00000000" w:rsidRPr="00000000">
        <w:rPr>
          <w:rtl w:val="0"/>
        </w:rPr>
        <w:t xml:space="preserve">The primary difficulty we encountered was the lack of direct overlap between the two datasets. Very few sports cars in the Kaggle dataset appear in the EPA dataset, making one-to-one comparisons unrealistic. Additionally, the EPA dataset is extremely large and uses semicolon-separated formatting, which initially caused parsing errors until corrected. We also realized that “economy” is an ambiguous term; it can mean affordable cars or fuel-efficient cars, and requires clarification to build a meaningful comparison framework.</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kysjykxs1jd" w:id="3"/>
      <w:bookmarkEnd w:id="3"/>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skk07stkied" w:id="4"/>
      <w:bookmarkEnd w:id="4"/>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3i8udxl5ept" w:id="5"/>
      <w:bookmarkEnd w:id="5"/>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vyshln0y008" w:id="6"/>
      <w:bookmarkEnd w:id="6"/>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t395o6fijfe" w:id="7"/>
      <w:bookmarkEnd w:id="7"/>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rfhc051loke" w:id="8"/>
      <w:bookmarkEnd w:id="8"/>
      <w:r w:rsidDel="00000000" w:rsidR="00000000" w:rsidRPr="00000000">
        <w:rPr>
          <w:b w:val="1"/>
          <w:bCs w:val="1"/>
          <w:color w:val="000000"/>
          <w:sz w:val="26"/>
          <w:szCs w:val="26"/>
          <w:rtl w:val="0"/>
        </w:rPr>
        <w:t xml:space="preserve">3) Changes We Decided to Make</w:t>
      </w:r>
    </w:p>
    <w:p w:rsidR="00000000" w:rsidDel="00000000" w:rsidP="00000000" w:rsidRDefault="00000000" w:rsidRPr="00000000" w14:paraId="0000000D">
      <w:pPr>
        <w:spacing w:after="240" w:before="240" w:lineRule="auto"/>
        <w:rPr/>
      </w:pPr>
      <w:r w:rsidDel="00000000" w:rsidR="00000000" w:rsidRPr="00000000">
        <w:rPr>
          <w:rtl w:val="0"/>
        </w:rPr>
        <w:t xml:space="preserve">Based on instructor feedback and our early data exploration, we made three key adjustments to our approach:</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We no longer attempt to match specific sports cars to specific EPA vehicles.</w:t>
        <w:br w:type="textWrapping"/>
        <w:t xml:space="preserve"> Instead, we treat them as two distinct markets that will be compared at the yearly or category level.</w:t>
      </w:r>
      <w:r w:rsidDel="00000000" w:rsidR="00000000" w:rsidRPr="00000000">
        <w:rPr>
          <w:rtl w:val="0"/>
        </w:rPr>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We clarified the definition of “economy.”</w:t>
        <w:br w:type="textWrapping"/>
        <w:t xml:space="preserve">For this project, “economy vehicles” refer to mainstream consumer vehicles tracked in the EPA dataset, characterized by efficiency metrics (MPG, emissions) rather than price.</w:t>
      </w:r>
      <w:r w:rsidDel="00000000" w:rsidR="00000000" w:rsidRPr="00000000">
        <w:rPr>
          <w:rtl w:val="0"/>
        </w:rPr>
        <w:br w:type="textWrapping"/>
      </w:r>
    </w:p>
    <w:p w:rsidR="00000000" w:rsidDel="00000000" w:rsidP="00000000" w:rsidRDefault="00000000" w:rsidRPr="00000000" w14:paraId="00000010">
      <w:pPr>
        <w:numPr>
          <w:ilvl w:val="0"/>
          <w:numId w:val="1"/>
        </w:numPr>
        <w:spacing w:after="240" w:before="0" w:beforeAutospacing="0" w:lineRule="auto"/>
        <w:ind w:left="720" w:hanging="360"/>
        <w:rPr/>
      </w:pPr>
      <w:r w:rsidDel="00000000" w:rsidR="00000000" w:rsidRPr="00000000">
        <w:rPr>
          <w:rtl w:val="0"/>
        </w:rPr>
        <w:t xml:space="preserve">We refined the convergence theme.</w:t>
        <w:br w:type="textWrapping"/>
        <w:t xml:space="preserve">Instead of assuming the markets converge, we now plan to measure convergence using performance, efficiency, and electrification trends. Electrification, especially EV acceleration and torque, will serve as the primary mechanism bridging the two markets.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These changes strengthen the analytical structure and directly address the instructor’s concerns.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26lgtbclp1" w:id="9"/>
      <w:bookmarkEnd w:id="9"/>
      <w:r w:rsidDel="00000000" w:rsidR="00000000" w:rsidRPr="00000000">
        <w:rPr>
          <w:b w:val="1"/>
          <w:bCs w:val="1"/>
          <w:color w:val="000000"/>
          <w:sz w:val="26"/>
          <w:szCs w:val="26"/>
          <w:rtl w:val="0"/>
        </w:rPr>
        <w:t xml:space="preserve">4) Final Project Deliverable</w:t>
      </w:r>
    </w:p>
    <w:p w:rsidR="00000000" w:rsidDel="00000000" w:rsidP="00000000" w:rsidRDefault="00000000" w:rsidRPr="00000000" w14:paraId="00000013">
      <w:pPr>
        <w:spacing w:after="240" w:before="240" w:lineRule="auto"/>
        <w:rPr/>
      </w:pPr>
      <w:r w:rsidDel="00000000" w:rsidR="00000000" w:rsidRPr="00000000">
        <w:rPr>
          <w:rtl w:val="0"/>
        </w:rPr>
        <w:t xml:space="preserve">Our final deliverable remains an interactive, narrative visualization dashboard that compares the evolution of performance-focused sports cars and efficiency-focused everyday vehicles from 2000–2025. The final dashboard will be structured into three “acts” - Divergence, Electrification, and Convergence/Coexistence, and will include yearly aggregates, interactive charts, filtering controls, and comparisons across horsepower, MPG, emissions, acceleration, fuel type, and engine displacement. The core objective remains unchanged: to visually and analytically explore how these two automotive markets have evolved and whether advancements in electrification are closing the gap between them.</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