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papertitle"/>
      </w:pPr>
      <w:r>
        <w:rPr>
          <w:sz w:val="32"/>
        </w:rPr>
        <w:t>Calibrated Escalation for IT Ticket Triage: What the Calibration Distribution Decides</w:t>
      </w:r>
    </w:p>
    <w:p>
      <w:pPr>
        <w:pStyle w:val="Author"/>
        <w:jc w:val="center"/>
      </w:pPr>
      <w:r>
        <w:t>Online Supplement</w:t>
      </w:r>
    </w:p>
    <w:p>
      <w:pPr>
        <w:pStyle w:val="BodyText"/>
      </w:pPr>
      <w:r>
        <w:t>Online supplement to the paper above, submitted to IConAECC 2026. It holds the appendices of the full version (v4), moved here unchanged to meet the six-page limit, and two figures removed from the paper. Every number is regenerated from the committed result files in the repository, https://github.com/aryanwaingankar4/ticket-routing-resolution-agent.</w:t>
      </w:r>
    </w:p>
    <w:p>
      <w:pPr>
        <w:pStyle w:val="Heading1"/>
        <w:numPr>
          <w:ilvl w:val="0"/>
          <w:numId w:val="0"/>
        </w:numPr>
      </w:pPr>
      <w:r>
        <w:t>S-A. Prompts</w:t>
      </w:r>
    </w:p>
    <w:p>
      <w:pPr>
        <w:pStyle w:val="BodyText"/>
      </w:pPr>
      <w:r>
        <w:rPr>
          <w:b/>
          <w:i w:val="0"/>
        </w:rPr>
        <w:t xml:space="preserve">Drafting prompt. </w:t>
      </w:r>
      <w:r>
        <w:t>The ‘Past ticket #k’ block is repeated for each of the top-5 retrieved tickets, k = 1…5.</w:t>
      </w:r>
    </w:p>
    <w:p>
      <w:pPr>
        <w:spacing w:after="0"/>
      </w:pPr>
      <w:r>
        <w:rPr>
          <w:rFonts w:ascii="Courier New" w:hAnsi="Courier New"/>
          <w:sz w:val="16"/>
        </w:rPr>
        <w:t>You are an IT-support assistant that drafts suggested resolutions for new support tickets.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>IMPORTANT INSTRUCTIONS:</w:t>
      </w:r>
    </w:p>
    <w:p>
      <w:pPr>
        <w:spacing w:after="0"/>
      </w:pPr>
      <w:r>
        <w:rPr>
          <w:rFonts w:ascii="Courier New" w:hAnsi="Courier New"/>
          <w:sz w:val="16"/>
        </w:rPr>
        <w:t>- Base your suggestion ONLY on the RETRIEVED PAST TICKETS below. These are real past fixes from our ticket history.</w:t>
      </w:r>
    </w:p>
    <w:p>
      <w:pPr>
        <w:spacing w:after="0"/>
      </w:pPr>
      <w:r>
        <w:rPr>
          <w:rFonts w:ascii="Courier New" w:hAnsi="Courier New"/>
          <w:sz w:val="16"/>
        </w:rPr>
        <w:t>- Do NOT invent a generic answer from outside knowledge. Ground every step in what the retrieved resolutions actually did.</w:t>
      </w:r>
    </w:p>
    <w:p>
      <w:pPr>
        <w:spacing w:after="0"/>
      </w:pPr>
      <w:r>
        <w:rPr>
          <w:rFonts w:ascii="Courier New" w:hAnsi="Courier New"/>
          <w:sz w:val="16"/>
        </w:rPr>
        <w:t>- If the retrieved examples do not fully match the new ticket, say so explicitly and recommend that a human agent double-check.</w:t>
      </w:r>
    </w:p>
    <w:p>
      <w:pPr>
        <w:spacing w:after="0"/>
      </w:pPr>
      <w:r>
        <w:rPr>
          <w:rFonts w:ascii="Courier New" w:hAnsi="Courier New"/>
          <w:sz w:val="16"/>
        </w:rPr>
        <w:t>- Keep the suggestion concise: a few sentences of clear, actionable steps.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>================ NEW TICKET (needs a resolution) ================</w:t>
      </w:r>
    </w:p>
    <w:p>
      <w:pPr>
        <w:spacing w:after="0"/>
      </w:pPr>
      <w:r>
        <w:rPr>
          <w:rFonts w:ascii="Courier New" w:hAnsi="Courier New"/>
          <w:sz w:val="16"/>
        </w:rPr>
        <w:t>Title:       &lt;NEW TICKET TITLE&gt;</w:t>
      </w:r>
    </w:p>
    <w:p>
      <w:pPr>
        <w:spacing w:after="0"/>
      </w:pPr>
      <w:r>
        <w:rPr>
          <w:rFonts w:ascii="Courier New" w:hAnsi="Courier New"/>
          <w:sz w:val="16"/>
        </w:rPr>
        <w:t>Description: &lt;NEW TICKET DESCRIPTION&gt;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>================ RETRIEVED PAST TICKETS ================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>--- Past ticket #1 (similarity &lt;SIMILARITY, 3 d.p.&gt;, category: &lt;PAST CATEGORY&gt;) ---</w:t>
      </w:r>
    </w:p>
    <w:p>
      <w:pPr>
        <w:spacing w:after="0"/>
      </w:pPr>
      <w:r>
        <w:rPr>
          <w:rFonts w:ascii="Courier New" w:hAnsi="Courier New"/>
          <w:sz w:val="16"/>
        </w:rPr>
        <w:t>Title:       &lt;PAST TITLE&gt;</w:t>
      </w:r>
    </w:p>
    <w:p>
      <w:pPr>
        <w:spacing w:after="0"/>
      </w:pPr>
      <w:r>
        <w:rPr>
          <w:rFonts w:ascii="Courier New" w:hAnsi="Courier New"/>
          <w:sz w:val="16"/>
        </w:rPr>
        <w:t>Description: &lt;PAST DESCRIPTION&gt;</w:t>
      </w:r>
    </w:p>
    <w:p>
      <w:pPr>
        <w:spacing w:after="0"/>
      </w:pPr>
      <w:r>
        <w:rPr>
          <w:rFonts w:ascii="Courier New" w:hAnsi="Courier New"/>
          <w:sz w:val="16"/>
        </w:rPr>
        <w:t>Resolution:  &lt;PAST RESOLUTION&gt;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>================ YOUR TASK ================</w:t>
      </w:r>
    </w:p>
    <w:p>
      <w:pPr>
        <w:spacing w:after="0"/>
      </w:pPr>
      <w:r>
        <w:rPr>
          <w:rFonts w:ascii="Courier New" w:hAnsi="Courier New"/>
          <w:sz w:val="16"/>
        </w:rPr>
        <w:t>Write a concise SUGGESTED RESOLUTION for the NEW TICKET, grounded in the retrieved past resolutions above. End with a one-line note stating whether the retrieved examples closely match or whether a human should verify.</w:t>
      </w:r>
    </w:p>
    <w:p>
      <w:pPr>
        <w:pStyle w:val="BodyText"/>
      </w:pPr>
      <w:r>
        <w:rPr>
          <w:b/>
          <w:i w:val="0"/>
        </w:rPr>
        <w:t xml:space="preserve">Zero-shot classification prompt. </w:t>
      </w:r>
    </w:p>
    <w:p>
      <w:pPr>
        <w:spacing w:after="0"/>
      </w:pPr>
      <w:r>
        <w:rPr>
          <w:rFonts w:ascii="Courier New" w:hAnsi="Courier New"/>
          <w:sz w:val="16"/>
        </w:rPr>
        <w:t>Classify this IT support ticket into exactly one category.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>TICKET:</w:t>
      </w:r>
    </w:p>
    <w:p>
      <w:pPr>
        <w:spacing w:after="0"/>
      </w:pPr>
      <w:r>
        <w:rPr>
          <w:rFonts w:ascii="Courier New" w:hAnsi="Courier New"/>
          <w:sz w:val="16"/>
        </w:rPr>
        <w:t>&lt;TICKET TEXT&gt;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>CATEGORIES: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- Infrastructure</w:t>
      </w:r>
    </w:p>
    <w:p>
      <w:pPr>
        <w:spacing w:after="0"/>
      </w:pPr>
      <w:r>
        <w:rPr>
          <w:rFonts w:ascii="Courier New" w:hAnsi="Courier New"/>
          <w:sz w:val="16"/>
        </w:rPr>
        <w:t xml:space="preserve">  - Application</w:t>
      </w:r>
    </w:p>
    <w:p>
      <w:pPr>
        <w:spacing w:after="0"/>
      </w:pPr>
      <w:r>
        <w:rPr>
          <w:rFonts w:ascii="Courier New" w:hAnsi="Courier New"/>
          <w:sz w:val="16"/>
        </w:rPr>
        <w:t xml:space="preserve">  - Security</w:t>
      </w:r>
    </w:p>
    <w:p>
      <w:pPr>
        <w:spacing w:after="0"/>
      </w:pPr>
      <w:r>
        <w:rPr>
          <w:rFonts w:ascii="Courier New" w:hAnsi="Courier New"/>
          <w:sz w:val="16"/>
        </w:rPr>
        <w:t xml:space="preserve">  - Database</w:t>
      </w:r>
    </w:p>
    <w:p>
      <w:pPr>
        <w:spacing w:after="0"/>
      </w:pPr>
      <w:r>
        <w:rPr>
          <w:rFonts w:ascii="Courier New" w:hAnsi="Courier New"/>
          <w:sz w:val="16"/>
        </w:rPr>
        <w:t xml:space="preserve">  - Storage</w:t>
      </w:r>
    </w:p>
    <w:p>
      <w:pPr>
        <w:spacing w:after="0"/>
      </w:pPr>
      <w:r>
        <w:rPr>
          <w:rFonts w:ascii="Courier New" w:hAnsi="Courier New"/>
          <w:sz w:val="16"/>
        </w:rPr>
        <w:t xml:space="preserve">  - Network</w:t>
      </w:r>
    </w:p>
    <w:p>
      <w:pPr>
        <w:spacing w:after="0"/>
      </w:pPr>
      <w:r>
        <w:rPr>
          <w:rFonts w:ascii="Courier New" w:hAnsi="Courier New"/>
          <w:sz w:val="16"/>
        </w:rPr>
        <w:t xml:space="preserve">  - Access Management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>Answer with STRICT JSON, exactly:</w:t>
      </w:r>
    </w:p>
    <w:p>
      <w:pPr>
        <w:spacing w:after="0"/>
      </w:pPr>
      <w:r>
        <w:rPr>
          <w:rFonts w:ascii="Courier New" w:hAnsi="Courier New"/>
          <w:sz w:val="16"/>
        </w:rPr>
        <w:t>{"category": "&lt;one of the categories above, copied exactly&gt;"}</w:t>
      </w:r>
    </w:p>
    <w:p>
      <w:pPr>
        <w:pStyle w:val="Heading1"/>
        <w:numPr>
          <w:ilvl w:val="0"/>
          <w:numId w:val="0"/>
        </w:numPr>
      </w:pPr>
      <w:r>
        <w:t>S-B. Reproduction Steps</w:t>
      </w:r>
    </w:p>
    <w:p>
      <w:pPr>
        <w:pStyle w:val="BodyText"/>
      </w:pPr>
      <w:r>
        <w:t>1. Environment: python -m venv venv; .\venv\Scripts\Activate.ps1; pip install -r requirements.txt (Python 3.14.3); for the revision analyses also pip install -r requirements-revision.txt. GEMINI_API_KEY in .env is needed only for steps that call Gemini.</w:t>
      </w:r>
    </w:p>
    <w:p>
      <w:pPr>
        <w:pStyle w:val="BodyText"/>
      </w:pPr>
      <w:r>
        <w:t>2. Data, models and index: python data/generate_dataset.py; python src/classification/train_tier1.py; python src/classification/train_embeddings.py; python src/rag/build_vector_index.py.</w:t>
      </w:r>
    </w:p>
    <w:p>
      <w:pPr>
        <w:pStyle w:val="BodyText"/>
      </w:pPr>
      <w:r>
        <w:t>3. Threshold calibration: python src/classification/train_cascade.py; python -m src.experiments.calibrate_rag_similarity_threshold; python -m src.experiments.calibrate_conformal.</w:t>
      </w:r>
    </w:p>
    <w:p>
      <w:pPr>
        <w:pStyle w:val="BodyText"/>
      </w:pPr>
      <w:r>
        <w:t>4. Evaluation: python src/experiments/test_adversarial_escalation.py; python src/experiments/run_ablation_study.py --mode {baseline, tier2-only, no-cascade, no-rag}; python src/experiments/compare_cascade_vs_tier2.py; python src/experiments/measure_inference_latency.py; python src/experiments/run_zeroshot_baselines.py and compare_zeroshot_vs_tier2.py; python src/experiments/score_groundedness_set.py; python src/experiments/score_sufficiency_gate.py.</w:t>
      </w:r>
    </w:p>
    <w:p>
      <w:pPr>
        <w:pStyle w:val="BodyText"/>
      </w:pPr>
      <w:r>
        <w:t>5. Revision analyses and figures: python scripts/reproduce_cascade_calibration_curve.py; python scripts/reproduce_ood_similarities.py; python scripts/error_analysis_benchmark45.py; python scripts/export_prompts.py; python scripts/make_revision_figures.py; python scripts/make_paper_figures.py.</w:t>
      </w:r>
    </w:p>
    <w:p>
      <w:pPr>
        <w:pStyle w:val="BodyText"/>
      </w:pPr>
      <w:r>
        <w:t>6. Extended evaluation: python scripts/fetch_zenodo_tickets.py; python scripts/prepare_zenodo_tickets.py; python scripts/run_realworld_routing.py; python scripts/score_realworld.py (and --variant fileservice_storage); python scripts/draft_realworld.py (calls Gemini); python scripts/eval_independent.py.</w:t>
      </w:r>
    </w:p>
    <w:p>
      <w:pPr>
        <w:pStyle w:val="BodyText"/>
      </w:pPr>
      <w:r>
        <w:t>7. Tables, numbers and checks: python src/experiments/build_paper_artifacts.py --force; pytest.</w:t>
      </w:r>
    </w:p>
    <w:p>
      <w:pPr>
        <w:pStyle w:val="Heading1"/>
        <w:numPr>
          <w:ilvl w:val="0"/>
          <w:numId w:val="0"/>
        </w:numPr>
      </w:pPr>
      <w:r>
        <w:t>S-C. Sensitivity of the Real-World Result to the Category Mapping</w:t>
      </w:r>
    </w:p>
    <w:p>
      <w:pPr>
        <w:pStyle w:val="BodyText"/>
      </w:pPr>
      <w:r>
        <w:t>Table S-I repeats the real-world evaluation of Section VI-E of the paper with the Fileservice category mapped to Storage instead of Access Management; everything else is unchanged. Sources: realworld_summary.csv and realworld_summary_sens_fileservice_storage.csv in data/external_zenodo_7648117/.</w:t>
      </w:r>
    </w:p>
    <w:p>
      <w:pPr>
        <w:pStyle w:val="tablehead"/>
        <w:numPr>
          <w:ilvl w:val="0"/>
          <w:numId w:val="0"/>
        </w:numPr>
        <w:keepNext/>
      </w:pPr>
      <w:r>
        <w:t xml:space="preserve">TABLE S-I. </w:t>
      </w:r>
      <w:r>
        <w:t>Real-world results under the primary mapping (file-share access requests → Access Management) and the sensitivity mapping (→ Storage). Distinct texts, n = 583. 95% Wilson intervals in brackets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00"/>
        <w:gridCol w:w="2900"/>
        <w:gridCol w:w="2900"/>
      </w:tblGrid>
      <w:tr>
        <w:trPr>
          <w:cantSplit/>
          <w:tblHeader/>
        </w:trPr>
        <w:tc>
          <w:tcPr>
            <w:tcW w:type="dxa" w:w="3900"/>
          </w:tcPr>
          <w:p>
            <w:pPr>
              <w:pStyle w:val="tablecolhead"/>
              <w:keepNext/>
            </w:pPr>
            <w:r>
              <w:t>Quantity</w:t>
            </w:r>
          </w:p>
        </w:tc>
        <w:tc>
          <w:tcPr>
            <w:tcW w:type="dxa" w:w="2900"/>
          </w:tcPr>
          <w:p>
            <w:pPr>
              <w:pStyle w:val="tablecolhead"/>
              <w:keepNext/>
            </w:pPr>
            <w:r>
              <w:t>Primary</w:t>
            </w:r>
          </w:p>
        </w:tc>
        <w:tc>
          <w:tcPr>
            <w:tcW w:type="dxa" w:w="2900"/>
          </w:tcPr>
          <w:p>
            <w:pPr>
              <w:pStyle w:val="tablecolhead"/>
              <w:keepNext/>
            </w:pPr>
            <w:r>
              <w:t>Sensitivity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tablecopy"/>
              <w:keepNext/>
            </w:pPr>
            <w:r>
              <w:t>Cascade correct</w:t>
            </w:r>
          </w:p>
        </w:tc>
        <w:tc>
          <w:tcPr>
            <w:tcW w:type="dxa" w:w="2900"/>
          </w:tcPr>
          <w:p>
            <w:pPr>
              <w:pStyle w:val="tablecopy"/>
              <w:keepNext/>
            </w:pPr>
            <w:r>
              <w:t>115/583 (19.7%) [16.7, 23.1]</w:t>
            </w:r>
          </w:p>
        </w:tc>
        <w:tc>
          <w:tcPr>
            <w:tcW w:type="dxa" w:w="2900"/>
          </w:tcPr>
          <w:p>
            <w:pPr>
              <w:pStyle w:val="tablecopy"/>
              <w:keepNext/>
            </w:pPr>
            <w:r>
              <w:t>294/583 (50.4%) [46.4, 54.5]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tablecopy"/>
              <w:keepNext/>
            </w:pPr>
            <w:r>
              <w:t>Tier 2 alone correct</w:t>
            </w:r>
          </w:p>
        </w:tc>
        <w:tc>
          <w:tcPr>
            <w:tcW w:type="dxa" w:w="2900"/>
          </w:tcPr>
          <w:p>
            <w:pPr>
              <w:pStyle w:val="tablecopy"/>
              <w:keepNext/>
            </w:pPr>
            <w:r>
              <w:t>114/583</w:t>
            </w:r>
          </w:p>
        </w:tc>
        <w:tc>
          <w:tcPr>
            <w:tcW w:type="dxa" w:w="2900"/>
          </w:tcPr>
          <w:p>
            <w:pPr>
              <w:pStyle w:val="tablecopy"/>
              <w:keepNext/>
            </w:pPr>
            <w:r>
              <w:t>292/583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tablecopy"/>
              <w:keepNext/>
            </w:pPr>
            <w:r>
              <w:t>Exact McNemar, cascade vs Tier 2</w:t>
            </w:r>
          </w:p>
        </w:tc>
        <w:tc>
          <w:tcPr>
            <w:tcW w:type="dxa" w:w="2900"/>
          </w:tcPr>
          <w:p>
            <w:pPr>
              <w:pStyle w:val="tablecopy"/>
              <w:keepNext/>
            </w:pPr>
            <w:r>
              <w:t>p = 1.0</w:t>
            </w:r>
          </w:p>
        </w:tc>
        <w:tc>
          <w:tcPr>
            <w:tcW w:type="dxa" w:w="2900"/>
          </w:tcPr>
          <w:p>
            <w:pPr>
              <w:pStyle w:val="tablecopy"/>
              <w:keepNext/>
            </w:pPr>
            <w:r>
              <w:t>p = 0.79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tablecopy"/>
              <w:keepNext/>
            </w:pPr>
            <w:r>
              <w:t>Recall, Access Management</w:t>
            </w:r>
          </w:p>
        </w:tc>
        <w:tc>
          <w:tcPr>
            <w:tcW w:type="dxa" w:w="2900"/>
          </w:tcPr>
          <w:p>
            <w:pPr>
              <w:pStyle w:val="tablecopy"/>
              <w:keepNext/>
            </w:pPr>
            <w:r>
              <w:t>86/319</w:t>
            </w:r>
          </w:p>
        </w:tc>
        <w:tc>
          <w:tcPr>
            <w:tcW w:type="dxa" w:w="2900"/>
          </w:tcPr>
          <w:p>
            <w:pPr>
              <w:pStyle w:val="tablecopy"/>
              <w:keepNext/>
            </w:pPr>
            <w:r>
              <w:t>62/82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tablecopy"/>
              <w:keepNext/>
            </w:pPr>
            <w:r>
              <w:t>Recall, Application</w:t>
            </w:r>
          </w:p>
        </w:tc>
        <w:tc>
          <w:tcPr>
            <w:tcW w:type="dxa" w:w="2900"/>
          </w:tcPr>
          <w:p>
            <w:pPr>
              <w:pStyle w:val="tablecopy"/>
              <w:keepNext/>
            </w:pPr>
            <w:r>
              <w:t>29/264</w:t>
            </w:r>
          </w:p>
        </w:tc>
        <w:tc>
          <w:tcPr>
            <w:tcW w:type="dxa" w:w="2900"/>
          </w:tcPr>
          <w:p>
            <w:pPr>
              <w:pStyle w:val="tablecopy"/>
              <w:keepNext/>
            </w:pPr>
            <w:r>
              <w:t>29/264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tablecopy"/>
              <w:keepNext/>
            </w:pPr>
            <w:r>
              <w:t>Recall, Storage</w:t>
            </w:r>
          </w:p>
        </w:tc>
        <w:tc>
          <w:tcPr>
            <w:tcW w:type="dxa" w:w="2900"/>
          </w:tcPr>
          <w:p>
            <w:pPr>
              <w:pStyle w:val="tablecopy"/>
              <w:keepNext/>
            </w:pPr>
            <w:r>
              <w:t>–</w:t>
            </w:r>
          </w:p>
        </w:tc>
        <w:tc>
          <w:tcPr>
            <w:tcW w:type="dxa" w:w="2900"/>
          </w:tcPr>
          <w:p>
            <w:pPr>
              <w:pStyle w:val="tablecopy"/>
              <w:keepNext/>
            </w:pPr>
            <w:r>
              <w:t>203/237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tablecopy"/>
              <w:keepNext/>
            </w:pPr>
            <w:r>
              <w:t>Tier-1 answers correct</w:t>
            </w:r>
          </w:p>
        </w:tc>
        <w:tc>
          <w:tcPr>
            <w:tcW w:type="dxa" w:w="2900"/>
          </w:tcPr>
          <w:p>
            <w:pPr>
              <w:pStyle w:val="tablecopy"/>
              <w:keepNext/>
            </w:pPr>
            <w:r>
              <w:t>39/238</w:t>
            </w:r>
          </w:p>
        </w:tc>
        <w:tc>
          <w:tcPr>
            <w:tcW w:type="dxa" w:w="2900"/>
          </w:tcPr>
          <w:p>
            <w:pPr>
              <w:pStyle w:val="tablecopy"/>
              <w:keepNext/>
            </w:pPr>
            <w:r>
              <w:t>199/238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tablecopy"/>
              <w:keepNext/>
            </w:pPr>
            <w:r>
              <w:t>Drafted and correctly routed</w:t>
            </w:r>
          </w:p>
        </w:tc>
        <w:tc>
          <w:tcPr>
            <w:tcW w:type="dxa" w:w="2900"/>
          </w:tcPr>
          <w:p>
            <w:pPr>
              <w:pStyle w:val="tablecopy"/>
              <w:keepNext/>
            </w:pPr>
            <w:r>
              <w:t>83/454</w:t>
            </w:r>
          </w:p>
        </w:tc>
        <w:tc>
          <w:tcPr>
            <w:tcW w:type="dxa" w:w="2900"/>
          </w:tcPr>
          <w:p>
            <w:pPr>
              <w:pStyle w:val="tablecopy"/>
              <w:keepNext/>
            </w:pPr>
            <w:r>
              <w:t>262/454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tablecopy"/>
            </w:pPr>
            <w:r>
              <w:t>Escalated at 0.67</w:t>
            </w:r>
          </w:p>
        </w:tc>
        <w:tc>
          <w:tcPr>
            <w:tcW w:type="dxa" w:w="2900"/>
          </w:tcPr>
          <w:p>
            <w:pPr>
              <w:pStyle w:val="tablecopy"/>
            </w:pPr>
            <w:r>
              <w:t>129/583 (22.1%)</w:t>
            </w:r>
          </w:p>
        </w:tc>
        <w:tc>
          <w:tcPr>
            <w:tcW w:type="dxa" w:w="2900"/>
          </w:tcPr>
          <w:p>
            <w:pPr>
              <w:pStyle w:val="tablecopy"/>
            </w:pPr>
            <w:r>
              <w:t>129/583 (22.1%)</w:t>
            </w:r>
          </w:p>
        </w:tc>
      </w:tr>
    </w:tbl>
    <w:p>
      <w:pPr/>
    </w:p>
    <w:p>
      <w:pPr>
        <w:pStyle w:val="Heading1"/>
        <w:numPr>
          <w:ilvl w:val="0"/>
          <w:numId w:val="0"/>
        </w:numPr>
      </w:pPr>
      <w:r>
        <w:t>S-D. Model Configurations and Hyperparameters</w:t>
      </w:r>
    </w:p>
    <w:p>
      <w:pPr>
        <w:pStyle w:val="tablehead"/>
        <w:numPr>
          <w:ilvl w:val="0"/>
          <w:numId w:val="0"/>
        </w:numPr>
        <w:keepNext/>
      </w:pPr>
      <w:r>
        <w:t xml:space="preserve">TABLE S-II. </w:t>
      </w:r>
      <w:r>
        <w:t>Model configurations and hyperparameters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700"/>
      </w:tblGrid>
      <w:tr>
        <w:trPr>
          <w:cantSplit/>
          <w:tblHeader/>
        </w:trPr>
        <w:tc>
          <w:tcPr>
            <w:tcW w:type="dxa" w:w="2000"/>
          </w:tcPr>
          <w:p>
            <w:pPr>
              <w:pStyle w:val="tablecolhead"/>
              <w:keepNext/>
            </w:pPr>
            <w:r>
              <w:t>Component</w:t>
            </w:r>
          </w:p>
        </w:tc>
        <w:tc>
          <w:tcPr>
            <w:tcW w:type="dxa" w:w="7700"/>
          </w:tcPr>
          <w:p>
            <w:pPr>
              <w:pStyle w:val="tablecolhead"/>
              <w:keepNext/>
            </w:pPr>
            <w:r>
              <w:t>Configuration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pStyle w:val="tablecopy"/>
              <w:keepNext/>
            </w:pPr>
            <w:r>
              <w:t>Tier 1</w:t>
            </w:r>
          </w:p>
        </w:tc>
        <w:tc>
          <w:tcPr>
            <w:tcW w:type="dxa" w:w="7700"/>
          </w:tcPr>
          <w:p>
            <w:pPr>
              <w:pStyle w:val="tablecopy"/>
              <w:keepNext/>
            </w:pPr>
            <w:r>
              <w:t>TF-IDF, committed vocabulary of 5,000 features, unigrams and bigrams, English stop words removed; logistic regression, max_iter = 1000; otherwise scikit-learn defaults (L2, C = 1.0, lbfgs)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pStyle w:val="tablecopy"/>
              <w:keepNext/>
            </w:pPr>
            <w:r>
              <w:t>Tier 2</w:t>
            </w:r>
          </w:p>
        </w:tc>
        <w:tc>
          <w:tcPr>
            <w:tcW w:type="dxa" w:w="7700"/>
          </w:tcPr>
          <w:p>
            <w:pPr>
              <w:pStyle w:val="tablecopy"/>
              <w:keepNext/>
            </w:pPr>
            <w:r>
              <w:t>bge-base-en-v1.5 (768-d, frozen) + logistic regression, max_iter = 1000, scikit-learn defaults, fitted on the 3,200-row split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pStyle w:val="tablecopy"/>
              <w:keepNext/>
            </w:pPr>
            <w:r>
              <w:t>Cascade gate</w:t>
            </w:r>
          </w:p>
        </w:tc>
        <w:tc>
          <w:tcPr>
            <w:tcW w:type="dxa" w:w="7700"/>
          </w:tcPr>
          <w:p>
            <w:pPr>
              <w:pStyle w:val="tablecopy"/>
              <w:keepNext/>
            </w:pPr>
            <w:r>
              <w:t>Accept Tier-1 label if top-class probability ≥ 0.50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pStyle w:val="tablecopy"/>
              <w:keepNext/>
            </w:pPr>
            <w:r>
              <w:t>Retrieval</w:t>
            </w:r>
          </w:p>
        </w:tc>
        <w:tc>
          <w:tcPr>
            <w:tcW w:type="dxa" w:w="7700"/>
          </w:tcPr>
          <w:p>
            <w:pPr>
              <w:pStyle w:val="tablecopy"/>
              <w:keepNext/>
            </w:pPr>
            <w:r>
              <w:t>FAISS inner-product index over normalised BGE embeddings; top-5 neighbours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pStyle w:val="tablecopy"/>
              <w:keepNext/>
            </w:pPr>
            <w:r>
              <w:t>Retrieval gate</w:t>
            </w:r>
          </w:p>
        </w:tc>
        <w:tc>
          <w:tcPr>
            <w:tcW w:type="dxa" w:w="7700"/>
          </w:tcPr>
          <w:p>
            <w:pPr>
              <w:pStyle w:val="tablecopy"/>
              <w:keepNext/>
            </w:pPr>
            <w:r>
              <w:t>Draft only if top-1 cosine similarity ≥ 0.67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pStyle w:val="tablecopy"/>
              <w:keepNext/>
            </w:pPr>
            <w:r>
              <w:t>Drafting LLM</w:t>
            </w:r>
          </w:p>
        </w:tc>
        <w:tc>
          <w:tcPr>
            <w:tcW w:type="dxa" w:w="7700"/>
          </w:tcPr>
          <w:p>
            <w:pPr>
              <w:pStyle w:val="tablecopy"/>
              <w:keepNext/>
            </w:pPr>
            <w:r>
              <w:t>gemini-flash-lite, API defaults (no generation config set); zero-shot runs at temperature 0.0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pStyle w:val="tablecopy"/>
              <w:keepNext/>
            </w:pPr>
            <w:r>
              <w:t>Zero-shot baselines</w:t>
            </w:r>
          </w:p>
        </w:tc>
        <w:tc>
          <w:tcPr>
            <w:tcW w:type="dxa" w:w="7700"/>
          </w:tcPr>
          <w:p>
            <w:pPr>
              <w:pStyle w:val="tablecopy"/>
              <w:keepNext/>
            </w:pPr>
            <w:r>
              <w:t>gemini-flash-lite and Qwen2.5-3B (local CPU) with byte-identical prompts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pStyle w:val="tablecopy"/>
              <w:keepNext/>
            </w:pPr>
            <w:r>
              <w:t>Other encoders</w:t>
            </w:r>
          </w:p>
        </w:tc>
        <w:tc>
          <w:tcPr>
            <w:tcW w:type="dxa" w:w="7700"/>
          </w:tcPr>
          <w:p>
            <w:pPr>
              <w:pStyle w:val="tablecopy"/>
              <w:keepNext/>
            </w:pPr>
            <w:r>
              <w:t>MiniLM and E5 with the same logistic head; DistilBERT fine-tuned, 4 epochs, learning rate 2 × 10⁻⁵, batch size 16, maximum length 128, weight decay 0.01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pStyle w:val="tablecopy"/>
              <w:keepNext/>
            </w:pPr>
            <w:r>
              <w:t>Clustering</w:t>
            </w:r>
          </w:p>
        </w:tc>
        <w:tc>
          <w:tcPr>
            <w:tcW w:type="dxa" w:w="7700"/>
          </w:tcPr>
          <w:p>
            <w:pPr>
              <w:pStyle w:val="tablecopy"/>
              <w:keepNext/>
            </w:pPr>
            <w:r>
              <w:t>Resolution embeddings, similarity threshold 0.80, union-find grouping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pStyle w:val="tablecopy"/>
              <w:keepNext/>
            </w:pPr>
            <w:r>
              <w:t>Conformal</w:t>
            </w:r>
          </w:p>
        </w:tc>
        <w:tc>
          <w:tcPr>
            <w:tcW w:type="dxa" w:w="7700"/>
          </w:tcPr>
          <w:p>
            <w:pPr>
              <w:pStyle w:val="tablecopy"/>
              <w:keepNext/>
            </w:pPr>
            <w:r>
              <w:t>α ∈ {0.01, 0.05, 0.10, 0.20}; noise band = ±2 s.d. of a binomial coverage estimate, n = 175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pStyle w:val="tablecopy"/>
            </w:pPr>
            <w:r>
              <w:t>Seeds, hardware</w:t>
            </w:r>
          </w:p>
        </w:tc>
        <w:tc>
          <w:tcPr>
            <w:tcW w:type="dxa" w:w="7700"/>
          </w:tcPr>
          <w:p>
            <w:pPr>
              <w:pStyle w:val="tablecopy"/>
            </w:pPr>
            <w:r>
              <w:t>seed 42 throughout (stratified 80/20 split); latency on an Intel Core i5-1334U (12 logical CPUs), Windows 11, Python 3.14.3, median of 200 runs after 20 warm-up runs</w:t>
            </w:r>
          </w:p>
        </w:tc>
      </w:tr>
    </w:tbl>
    <w:p>
      <w:pPr/>
    </w:p>
    <w:p>
      <w:pPr>
        <w:pStyle w:val="Heading1"/>
        <w:numPr>
          <w:ilvl w:val="0"/>
          <w:numId w:val="0"/>
        </w:numPr>
      </w:pPr>
      <w:r>
        <w:t>S-E. Verification Checks</w:t>
      </w:r>
    </w:p>
    <w:p>
      <w:pPr>
        <w:pStyle w:val="tablehead"/>
        <w:numPr>
          <w:ilvl w:val="0"/>
          <w:numId w:val="0"/>
        </w:numPr>
        <w:keepNext/>
      </w:pPr>
      <w:r>
        <w:t xml:space="preserve">TABLE S-III. </w:t>
      </w:r>
      <w:r>
        <w:t>Checks that run before a result is accepted. A count is given only where a committed file records it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00"/>
        <w:gridCol w:w="6300"/>
        <w:gridCol w:w="1500"/>
      </w:tblGrid>
      <w:tr>
        <w:trPr>
          <w:cantSplit/>
          <w:tblHeader/>
        </w:trPr>
        <w:tc>
          <w:tcPr>
            <w:tcW w:type="dxa" w:w="1900"/>
          </w:tcPr>
          <w:p>
            <w:pPr>
              <w:pStyle w:val="tablecolhead"/>
              <w:keepNext/>
            </w:pPr>
            <w:r>
              <w:t>Check</w:t>
            </w:r>
          </w:p>
        </w:tc>
        <w:tc>
          <w:tcPr>
            <w:tcW w:type="dxa" w:w="6300"/>
          </w:tcPr>
          <w:p>
            <w:pPr>
              <w:pStyle w:val="tablecolhead"/>
              <w:keepNext/>
            </w:pPr>
            <w:r>
              <w:t>What it guards</w:t>
            </w:r>
          </w:p>
        </w:tc>
        <w:tc>
          <w:tcPr>
            <w:tcW w:type="dxa" w:w="1500"/>
          </w:tcPr>
          <w:p>
            <w:pPr>
              <w:pStyle w:val="tablecolhead"/>
              <w:keepNext/>
            </w:pPr>
            <w:r>
              <w:t>Count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pStyle w:val="tablecopy"/>
              <w:keepNext/>
            </w:pPr>
            <w:r>
              <w:t>Golden parity</w:t>
            </w:r>
          </w:p>
        </w:tc>
        <w:tc>
          <w:tcPr>
            <w:tcW w:type="dxa" w:w="6300"/>
          </w:tcPr>
          <w:p>
            <w:pPr>
              <w:pStyle w:val="tablecopy"/>
              <w:keepNext/>
            </w:pPr>
            <w:r>
              <w:t>Category, tier, escalation and neighbour count equal the recorded decisions exactly</w:t>
            </w:r>
          </w:p>
        </w:tc>
        <w:tc>
          <w:tcPr>
            <w:tcW w:type="dxa" w:w="1500"/>
          </w:tcPr>
          <w:p>
            <w:pPr>
              <w:pStyle w:val="tablecopy"/>
              <w:keepNext/>
            </w:pPr>
            <w:r>
              <w:t>54 tickets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pStyle w:val="tablecopy"/>
              <w:keepNext/>
            </w:pPr>
            <w:r>
              <w:t>Adversarial gate</w:t>
            </w:r>
          </w:p>
        </w:tc>
        <w:tc>
          <w:tcPr>
            <w:tcW w:type="dxa" w:w="6300"/>
          </w:tcPr>
          <w:p>
            <w:pPr>
              <w:pStyle w:val="tablecopy"/>
              <w:keepNext/>
            </w:pPr>
            <w:r>
              <w:t>Each adversarial ticket escalates or proceeds as expected</w:t>
            </w:r>
          </w:p>
        </w:tc>
        <w:tc>
          <w:tcPr>
            <w:tcW w:type="dxa" w:w="1500"/>
          </w:tcPr>
          <w:p>
            <w:pPr>
              <w:pStyle w:val="tablecopy"/>
              <w:keepNext/>
            </w:pPr>
            <w:r>
              <w:t>9/9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pStyle w:val="tablecopy"/>
              <w:keepNext/>
            </w:pPr>
            <w:r>
              <w:t>Gate headroom</w:t>
            </w:r>
          </w:p>
        </w:tc>
        <w:tc>
          <w:tcPr>
            <w:tcW w:type="dxa" w:w="6300"/>
          </w:tcPr>
          <w:p>
            <w:pPr>
              <w:pStyle w:val="tablecopy"/>
              <w:keepNext/>
            </w:pPr>
            <w:r>
              <w:t>No golden similarity lies within its tolerance of the gate; closest, as a multiple of the tolerance</w:t>
            </w:r>
          </w:p>
        </w:tc>
        <w:tc>
          <w:tcPr>
            <w:tcW w:type="dxa" w:w="1500"/>
          </w:tcPr>
          <w:p>
            <w:pPr>
              <w:pStyle w:val="tablecopy"/>
              <w:keepNext/>
            </w:pPr>
            <w:r>
              <w:t>3.18×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pStyle w:val="tablecopy"/>
              <w:keepNext/>
            </w:pPr>
            <w:r>
              <w:t>Artifact guards</w:t>
            </w:r>
          </w:p>
        </w:tc>
        <w:tc>
          <w:tcPr>
            <w:tcW w:type="dxa" w:w="6300"/>
          </w:tcPr>
          <w:p>
            <w:pPr>
              <w:pStyle w:val="tablecopy"/>
              <w:keepNext/>
            </w:pPr>
            <w:r>
              <w:t>Index and metadata aligned; encoder, index and configured dimension agree; Tier 1 matches its dataset and vocabulary</w:t>
            </w:r>
          </w:p>
        </w:tc>
        <w:tc>
          <w:tcPr>
            <w:tcW w:type="dxa" w:w="1500"/>
          </w:tcPr>
          <w:p>
            <w:pPr>
              <w:pStyle w:val="tablecopy"/>
              <w:keepNext/>
            </w:pPr>
            <w:r>
              <w:t>–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pStyle w:val="tablecopy"/>
            </w:pPr>
            <w:r>
              <w:t>Paper parity</w:t>
            </w:r>
          </w:p>
        </w:tc>
        <w:tc>
          <w:tcPr>
            <w:tcW w:type="dxa" w:w="6300"/>
          </w:tcPr>
          <w:p>
            <w:pPr>
              <w:pStyle w:val="tablecopy"/>
            </w:pPr>
            <w:r>
              <w:t>Every quoted number is regenerated from a committed result file, and none is typed by hand</w:t>
            </w:r>
          </w:p>
        </w:tc>
        <w:tc>
          <w:tcPr>
            <w:tcW w:type="dxa" w:w="1500"/>
          </w:tcPr>
          <w:p>
            <w:pPr>
              <w:pStyle w:val="tablecopy"/>
            </w:pPr>
            <w:r>
              <w:t>–</w:t>
            </w:r>
          </w:p>
        </w:tc>
      </w:tr>
    </w:tbl>
    <w:p>
      <w:pPr/>
    </w:p>
    <w:p>
      <w:pPr>
        <w:pStyle w:val="Heading1"/>
        <w:numPr>
          <w:ilvl w:val="0"/>
          <w:numId w:val="0"/>
        </w:numPr>
      </w:pPr>
      <w:r>
        <w:t>S-F. Methodological Lessons</w:t>
      </w:r>
    </w:p>
    <w:p>
      <w:pPr>
        <w:pStyle w:val="BodyText"/>
      </w:pPr>
      <w:r>
        <w:rPr>
          <w:b/>
          <w:i w:val="0"/>
        </w:rPr>
        <w:t xml:space="preserve">Methodological lessons. </w:t>
      </w:r>
      <w:r>
        <w:t>An area-under-the-risk–coverage metric showed effects that the pre-registered comparison at the live operating coverage could not resolve, so an averaged metric alone is not a reason to adopt a deferral rule. A pre-registered degeneracy rule blocked our paraphrase-shift experiment, and we kept the rule after seeing the results even though a critique of it was reasonable. On nine occasions a value or artifact was wrong for its context yet internally consistent and silently produced a wrong result; each case is documented in the repository.</w:t>
      </w:r>
    </w:p>
    <w:p>
      <w:pPr>
        <w:pStyle w:val="Heading1"/>
        <w:numPr>
          <w:ilvl w:val="0"/>
          <w:numId w:val="0"/>
        </w:numPr>
      </w:pPr>
      <w:r>
        <w:t>S-G. Additional Figures</w:t>
      </w:r>
    </w:p>
    <w:p>
      <w:pPr>
        <w:keepNext/>
        <w:spacing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14800" cy="29045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cover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04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numPr>
          <w:ilvl w:val="0"/>
          <w:numId w:val="0"/>
        </w:numPr>
      </w:pPr>
      <w:r>
        <w:t xml:space="preserve">Fig. S1. </w:t>
      </w:r>
      <w:r>
        <w:t>Coverage gap on the out-of-template benchmark by representation and α, against the two-standard-deviation noise band. The same values are in Table IV of the paper.</w:t>
      </w:r>
    </w:p>
    <w:p>
      <w:pPr>
        <w:keepNext/>
        <w:spacing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14800" cy="36307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confusion_matri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630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numPr>
          <w:ilvl w:val="0"/>
          <w:numId w:val="0"/>
        </w:numPr>
      </w:pPr>
      <w:r>
        <w:t xml:space="preserve">Fig. S2. </w:t>
      </w:r>
      <w:r>
        <w:t>Confusion matrix of the production cascade on the 45-ticket benchmark.</w:t>
      </w:r>
    </w:p>
    <w:p>
      <w:pPr>
        <w:pStyle w:val="BodyText"/>
      </w:pPr>
      <w:r>
        <w:rPr>
          <w:b/>
          <w:i w:val="0"/>
        </w:rPr>
        <w:t xml:space="preserve">Examples of misrouted tickets. </w:t>
      </w:r>
      <w:r>
        <w:t>For example, N31 (Security: ransomware pop-ups demanding payment) was routed to Storage, N39 (Network: the VPN connection to the company portal fails) to Database, and N13 (Infrastructure: company websites down for the whole office) to Database.</w:t>
      </w:r>
    </w:p>
    <w:sectPr w:rsidR="009303D9" w:rsidRPr="00F96569">
      <w:type w:val="continuous"/>
      <w:pgSz w:w="11906" w:h="16838" w:code="9"/>
      <w:pgMar w:top="1077" w:right="812" w:bottom="2438" w:left="81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DF3C8" w14:textId="77777777" w:rsidR="009D3956" w:rsidRDefault="009D3956" w:rsidP="001A3B3D">
      <w:r>
        <w:separator/>
      </w:r>
    </w:p>
  </w:endnote>
  <w:endnote w:type="continuationSeparator" w:id="0">
    <w:p w14:paraId="294D1891" w14:textId="77777777" w:rsidR="009D3956" w:rsidRDefault="009D3956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imbusRomNo9L-Regu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21F62" w14:textId="77777777" w:rsidR="001A3B3D" w:rsidRPr="006F6D3D" w:rsidRDefault="001A3B3D" w:rsidP="0056610F">
    <w:pPr>
      <w:pStyle w:val="Footer"/>
      <w:jc w:val="lef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51BB0" w14:textId="77777777" w:rsidR="009D3956" w:rsidRDefault="009D3956" w:rsidP="001A3B3D">
      <w:r>
        <w:separator/>
      </w:r>
    </w:p>
  </w:footnote>
  <w:footnote w:type="continuationSeparator" w:id="0">
    <w:p w14:paraId="2BD414D1" w14:textId="77777777" w:rsidR="009D3956" w:rsidRDefault="009D3956" w:rsidP="001A3B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right"/>
      <w:pPr>
        <w:ind w:left="936" w:hanging="360"/>
      </w:pPr>
    </w:lvl>
    <w:lvl w:ilvl="1" w:tplc="04140019" w:tentative="1">
      <w:start w:val="1"/>
      <w:numFmt w:val="lowerLetter"/>
      <w:lvlText w:val="%2."/>
      <w:lvlJc w:val="left"/>
      <w:pPr>
        <w:ind w:left="1656" w:hanging="360"/>
      </w:pPr>
    </w:lvl>
    <w:lvl w:ilvl="2" w:tplc="0414001B" w:tentative="1">
      <w:start w:val="1"/>
      <w:numFmt w:val="lowerRoman"/>
      <w:lvlText w:val="%3."/>
      <w:lvlJc w:val="right"/>
      <w:pPr>
        <w:ind w:left="2376" w:hanging="180"/>
      </w:pPr>
    </w:lvl>
    <w:lvl w:ilvl="3" w:tplc="0414000F" w:tentative="1">
      <w:start w:val="1"/>
      <w:numFmt w:val="decimal"/>
      <w:lvlText w:val="%4."/>
      <w:lvlJc w:val="left"/>
      <w:pPr>
        <w:ind w:left="3096" w:hanging="360"/>
      </w:pPr>
    </w:lvl>
    <w:lvl w:ilvl="4" w:tplc="04140019" w:tentative="1">
      <w:start w:val="1"/>
      <w:numFmt w:val="lowerLetter"/>
      <w:lvlText w:val="%5."/>
      <w:lvlJc w:val="left"/>
      <w:pPr>
        <w:ind w:left="3816" w:hanging="360"/>
      </w:pPr>
    </w:lvl>
    <w:lvl w:ilvl="5" w:tplc="0414001B" w:tentative="1">
      <w:start w:val="1"/>
      <w:numFmt w:val="lowerRoman"/>
      <w:lvlText w:val="%6."/>
      <w:lvlJc w:val="right"/>
      <w:pPr>
        <w:ind w:left="4536" w:hanging="180"/>
      </w:pPr>
    </w:lvl>
    <w:lvl w:ilvl="6" w:tplc="0414000F" w:tentative="1">
      <w:start w:val="1"/>
      <w:numFmt w:val="decimal"/>
      <w:lvlText w:val="%7."/>
      <w:lvlJc w:val="left"/>
      <w:pPr>
        <w:ind w:left="5256" w:hanging="360"/>
      </w:pPr>
    </w:lvl>
    <w:lvl w:ilvl="7" w:tplc="04140019" w:tentative="1">
      <w:start w:val="1"/>
      <w:numFmt w:val="lowerLetter"/>
      <w:lvlText w:val="%8."/>
      <w:lvlJc w:val="left"/>
      <w:pPr>
        <w:ind w:left="5976" w:hanging="360"/>
      </w:pPr>
    </w:lvl>
    <w:lvl w:ilvl="8" w:tplc="0414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940377641">
    <w:abstractNumId w:val="14"/>
  </w:num>
  <w:num w:numId="2" w16cid:durableId="1397439891">
    <w:abstractNumId w:val="19"/>
  </w:num>
  <w:num w:numId="3" w16cid:durableId="539585121">
    <w:abstractNumId w:val="13"/>
  </w:num>
  <w:num w:numId="4" w16cid:durableId="1505513160">
    <w:abstractNumId w:val="16"/>
  </w:num>
  <w:num w:numId="5" w16cid:durableId="978925957">
    <w:abstractNumId w:val="16"/>
  </w:num>
  <w:num w:numId="6" w16cid:durableId="1721400726">
    <w:abstractNumId w:val="16"/>
  </w:num>
  <w:num w:numId="7" w16cid:durableId="687826470">
    <w:abstractNumId w:val="16"/>
  </w:num>
  <w:num w:numId="8" w16cid:durableId="143812469">
    <w:abstractNumId w:val="18"/>
  </w:num>
  <w:num w:numId="9" w16cid:durableId="1364867722">
    <w:abstractNumId w:val="20"/>
  </w:num>
  <w:num w:numId="10" w16cid:durableId="2029989048">
    <w:abstractNumId w:val="15"/>
  </w:num>
  <w:num w:numId="11" w16cid:durableId="642739898">
    <w:abstractNumId w:val="12"/>
  </w:num>
  <w:num w:numId="12" w16cid:durableId="1272741182">
    <w:abstractNumId w:val="11"/>
  </w:num>
  <w:num w:numId="13" w16cid:durableId="851069540">
    <w:abstractNumId w:val="0"/>
  </w:num>
  <w:num w:numId="14" w16cid:durableId="529344390">
    <w:abstractNumId w:val="10"/>
  </w:num>
  <w:num w:numId="15" w16cid:durableId="894972538">
    <w:abstractNumId w:val="8"/>
  </w:num>
  <w:num w:numId="16" w16cid:durableId="1023093075">
    <w:abstractNumId w:val="7"/>
  </w:num>
  <w:num w:numId="17" w16cid:durableId="1951620780">
    <w:abstractNumId w:val="6"/>
  </w:num>
  <w:num w:numId="18" w16cid:durableId="1765606468">
    <w:abstractNumId w:val="5"/>
  </w:num>
  <w:num w:numId="19" w16cid:durableId="409623909">
    <w:abstractNumId w:val="9"/>
  </w:num>
  <w:num w:numId="20" w16cid:durableId="1936084648">
    <w:abstractNumId w:val="4"/>
  </w:num>
  <w:num w:numId="21" w16cid:durableId="146483437">
    <w:abstractNumId w:val="3"/>
  </w:num>
  <w:num w:numId="22" w16cid:durableId="1467505995">
    <w:abstractNumId w:val="2"/>
  </w:num>
  <w:num w:numId="23" w16cid:durableId="1408696933">
    <w:abstractNumId w:val="1"/>
  </w:num>
  <w:num w:numId="24" w16cid:durableId="1366640472">
    <w:abstractNumId w:val="17"/>
  </w:num>
  <w:num w:numId="25" w16cid:durableId="191728288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758A"/>
    <w:rsid w:val="000C1E68"/>
    <w:rsid w:val="0015079E"/>
    <w:rsid w:val="00156B74"/>
    <w:rsid w:val="001A2EFD"/>
    <w:rsid w:val="001A3B3D"/>
    <w:rsid w:val="001A42EA"/>
    <w:rsid w:val="001B67DC"/>
    <w:rsid w:val="001D7BCF"/>
    <w:rsid w:val="002254A9"/>
    <w:rsid w:val="00233D97"/>
    <w:rsid w:val="002850E3"/>
    <w:rsid w:val="00354FCF"/>
    <w:rsid w:val="003A19E2"/>
    <w:rsid w:val="00421EC6"/>
    <w:rsid w:val="004325FB"/>
    <w:rsid w:val="004432BA"/>
    <w:rsid w:val="0044407E"/>
    <w:rsid w:val="004D72B5"/>
    <w:rsid w:val="00533A4B"/>
    <w:rsid w:val="00547E73"/>
    <w:rsid w:val="00551B7F"/>
    <w:rsid w:val="0056610F"/>
    <w:rsid w:val="00575BCA"/>
    <w:rsid w:val="005B0344"/>
    <w:rsid w:val="005B520E"/>
    <w:rsid w:val="005E2800"/>
    <w:rsid w:val="006347CF"/>
    <w:rsid w:val="00645D22"/>
    <w:rsid w:val="00651A08"/>
    <w:rsid w:val="00654204"/>
    <w:rsid w:val="00670434"/>
    <w:rsid w:val="006B6B66"/>
    <w:rsid w:val="006F6D3D"/>
    <w:rsid w:val="00704134"/>
    <w:rsid w:val="00715BEA"/>
    <w:rsid w:val="00740EEA"/>
    <w:rsid w:val="00794804"/>
    <w:rsid w:val="007B33F1"/>
    <w:rsid w:val="007C0308"/>
    <w:rsid w:val="007C2FF2"/>
    <w:rsid w:val="007D6232"/>
    <w:rsid w:val="007F1F99"/>
    <w:rsid w:val="007F768F"/>
    <w:rsid w:val="0080791D"/>
    <w:rsid w:val="0082599D"/>
    <w:rsid w:val="00873603"/>
    <w:rsid w:val="008A2C7D"/>
    <w:rsid w:val="008C4B23"/>
    <w:rsid w:val="008F6E2C"/>
    <w:rsid w:val="009303D9"/>
    <w:rsid w:val="00933C64"/>
    <w:rsid w:val="00972203"/>
    <w:rsid w:val="009D3956"/>
    <w:rsid w:val="00A059B3"/>
    <w:rsid w:val="00A83751"/>
    <w:rsid w:val="00AE3409"/>
    <w:rsid w:val="00B11A60"/>
    <w:rsid w:val="00B22613"/>
    <w:rsid w:val="00BA1025"/>
    <w:rsid w:val="00BC3420"/>
    <w:rsid w:val="00BE7D3C"/>
    <w:rsid w:val="00BF5FF6"/>
    <w:rsid w:val="00C0207F"/>
    <w:rsid w:val="00C16117"/>
    <w:rsid w:val="00C3075A"/>
    <w:rsid w:val="00C76FFC"/>
    <w:rsid w:val="00C919A4"/>
    <w:rsid w:val="00CA4392"/>
    <w:rsid w:val="00CC393F"/>
    <w:rsid w:val="00D13749"/>
    <w:rsid w:val="00D2176E"/>
    <w:rsid w:val="00D632BE"/>
    <w:rsid w:val="00D72D06"/>
    <w:rsid w:val="00D7522C"/>
    <w:rsid w:val="00D7536F"/>
    <w:rsid w:val="00D76668"/>
    <w:rsid w:val="00E61E12"/>
    <w:rsid w:val="00E7596C"/>
    <w:rsid w:val="00E878F2"/>
    <w:rsid w:val="00ED0149"/>
    <w:rsid w:val="00EF7DE3"/>
    <w:rsid w:val="00F03103"/>
    <w:rsid w:val="00F12284"/>
    <w:rsid w:val="00F271DE"/>
    <w:rsid w:val="00F627DA"/>
    <w:rsid w:val="00F7288F"/>
    <w:rsid w:val="00F847A6"/>
    <w:rsid w:val="00F9441B"/>
    <w:rsid w:val="00F96569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B3EFF9"/>
  <w15:chartTrackingRefBased/>
  <w15:docId w15:val="{F70393F7-BE71-4745-A4B2-AE3F69CD3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left" w:pos="216"/>
      </w:tabs>
      <w:spacing w:before="160" w:after="80"/>
      <w:ind w:firstLine="0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360"/>
        <w:tab w:val="num" w:pos="288"/>
      </w:tabs>
      <w:spacing w:before="120" w:after="60"/>
      <w:jc w:val="lef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240" w:lineRule="exact"/>
      <w:ind w:firstLine="288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630"/>
        <w:tab w:val="left" w:pos="720"/>
      </w:tabs>
      <w:spacing w:before="40" w:after="40"/>
      <w:ind w:firstLine="504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200"/>
      <w:ind w:firstLine="272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360" w:after="40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648"/>
      </w:tabs>
      <w:ind w:left="576" w:hanging="288"/>
    </w:pPr>
  </w:style>
  <w:style w:type="paragraph" w:customStyle="1" w:styleId="equation">
    <w:name w:val="equation"/>
    <w:basedOn w:val="Normal"/>
    <w:rsid w:val="008A2C7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left" w:pos="533"/>
      </w:tabs>
      <w:spacing w:before="80" w:after="200"/>
      <w:ind w:left="0" w:firstLine="0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</w:rPr>
  </w:style>
  <w:style w:type="paragraph" w:customStyle="1" w:styleId="papersubtitle">
    <w:name w:val="paper subtitle"/>
    <w:pPr>
      <w:spacing w:after="120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120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50" w:line="180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60" w:after="30"/>
      <w:ind w:left="58" w:hanging="29"/>
      <w:jc w:val="right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240" w:after="120" w:line="216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120"/>
      <w:ind w:firstLine="274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character" w:styleId="Hyperlink">
    <w:name w:val="Hyperlink"/>
    <w:basedOn w:val="DefaultParagraphFont"/>
    <w:rsid w:val="00156B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6B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rxiv.org/abs/1312.611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ocean.com/capsule/4989235/tree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4953BD-B001-433D-BAEA-84E6680CE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2275</Words>
  <Characters>12971</Characters>
  <Application>Microsoft Office Word</Application>
  <DocSecurity>4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aryan04 waingankar</cp:lastModifiedBy>
  <cp:revision>2</cp:revision>
  <dcterms:created xsi:type="dcterms:W3CDTF">2026-10-30T06:00:00Z</dcterms:created>
  <dcterms:modified xsi:type="dcterms:W3CDTF">2026-10-30T06:00:00Z</dcterms:modified>
</cp:coreProperties>
</file>