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374023437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0087890625" w:line="240" w:lineRule="auto"/>
        <w:ind w:left="1763.0218505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 Francis Institute of Technology, Mumbai-400 103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2329.748840332031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Information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3825.884094238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A.Y. 2023-2024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3022.542419433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TE-ITA/B, Semester: V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2859.08874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Advanced DevOps Lab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1688.40728759765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 1: To create a free tier AWS account.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40087890625" w:line="237.4049949645996" w:lineRule="auto"/>
        <w:ind w:left="271.9200134277344" w:right="767.6770019531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benefits of cloud infrastructure and create a free tier AWS account.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 will be able to </w:t>
      </w:r>
      <w:r w:rsidDel="00000000" w:rsidR="00000000" w:rsidRPr="00000000">
        <w:drawing>
          <wp:anchor allowOverlap="1" behindDoc="1" distB="19050" distT="19050" distL="19050" distR="19050" hidden="0" layoutInCell="1" locked="0" relativeHeight="0" simplePos="0">
            <wp:simplePos x="0" y="0"/>
            <wp:positionH relativeFrom="column">
              <wp:posOffset>358292</wp:posOffset>
            </wp:positionH>
            <wp:positionV relativeFrom="paragraph">
              <wp:posOffset>139446</wp:posOffset>
            </wp:positionV>
            <wp:extent cx="4876800" cy="44958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76800" cy="449580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09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basic cloud computing concepts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9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free tier AWS account.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625.9199523925781" w:right="3.3984375" w:hanging="355.9199523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Lab objective mapped : ITL504.1: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fundamentals of Cloud Computing and be fully proficient with Cloud based DevOps solution deployment options to meet your business requirements.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account on web app.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634.3199157714844" w:right="28.9379882812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Windows operating system, Internet Connection, web browser, credit card details.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7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Theory: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54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Cloud Computing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18.0799865722656" w:right="14.3701171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54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Essential Characteristics: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49949645996" w:lineRule="auto"/>
        <w:ind w:left="723.1199645996094" w:right="3.596191406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On-demand self-service. A consumer can unilaterally provision computing capabilities, such as server time and network storage, as needed automatically without requiring human interaction with each service provider.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528106689453" w:lineRule="auto"/>
        <w:ind w:left="718.0799865722656" w:right="4.0991210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 network access. Capabilities are available over the network and accessed through standard mechanisms that promote use by heterogeneous thin or thick client platforms (e.g., mobile phones, tablets, laptops, and workstations).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5204925537" w:lineRule="auto"/>
        <w:ind w:left="715.679931640625" w:right="11.2988281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pooling.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(e.g., country, state, or datacenter). Examples of resources include storage, processing, memory, and network bandwidth.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1062011719" w:line="237.4049949645996" w:lineRule="auto"/>
        <w:ind w:left="724.7999572753906" w:right="8.861083984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Rapid elasticity. Capabilities can be elastically provisioned and released, in some cases automatically, to scale rapidly outward and inward commensurate with demand. To the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1507873535156" w:line="240" w:lineRule="auto"/>
        <w:ind w:left="2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374023437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37.4049949645996" w:lineRule="auto"/>
        <w:ind w:left="724.7999572753906" w:right="12.996826171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 the capabilities available for provisioning often appear to be unlimited and can be appropriated in any quantity at any time. </w:t>
      </w:r>
      <w:r w:rsidDel="00000000" w:rsidR="00000000" w:rsidRPr="00000000">
        <w:drawing>
          <wp:anchor allowOverlap="1" behindDoc="1" distB="19050" distT="19050" distL="19050" distR="19050" hidden="0" layoutInCell="1" locked="0" relativeHeight="0" simplePos="0">
            <wp:simplePos x="0" y="0"/>
            <wp:positionH relativeFrom="column">
              <wp:posOffset>642214</wp:posOffset>
            </wp:positionH>
            <wp:positionV relativeFrom="paragraph">
              <wp:posOffset>315852</wp:posOffset>
            </wp:positionV>
            <wp:extent cx="4876800" cy="4495799"/>
            <wp:effectExtent b="0" l="0" r="0" t="0"/>
            <wp:wrapNone/>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76800" cy="4495799"/>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715.9199523925781" w:right="4.3041992187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Measured service. Cloud systems automatically control and optimize resource use by leveraging a metering capability1 at some level of abstraction appropriate to the type of service (e.g., storage, processing, bandwidth, and active user accounts). Resource usage can be monitored, controlled, and reported, providing transparency for both the provider and consumer of the utilized service.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55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Service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23.1199645996094" w:right="7.581787109375" w:firstLine="8.1599426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as a Service (SaaS). The capability provided to the consumer is to use the provider’s applications running on a cloud infrastructure .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18.0799865722656" w:right="0.8398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as a Service (PaaS). 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15.679931640625" w:right="0"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54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Models: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19523620605" w:lineRule="auto"/>
        <w:ind w:left="724.3199157714844" w:right="7.927246093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cloud. The cloud infrastructure is provisioned for exclusive use by a single organization comprising multiple consumers (e.g., business units). It may be owned, managed, and operated by the organization, a third party, or some combination of them, and it may exist on or off premises.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95361328125" w:line="237.4049949645996" w:lineRule="auto"/>
        <w:ind w:left="717.5999450683594" w:right="4.8620605468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cloud. The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8010253906" w:line="237.4049949645996" w:lineRule="auto"/>
        <w:ind w:left="718.0799865722656" w:right="24.285888671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cloud. The cloud infrastructure is provisioned for open use by the general public. It may be owned, managed, and operated by a business, academic, or government organization, or some combination of them. It exists on the premises of the cloud provider.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1385803222656" w:line="240" w:lineRule="auto"/>
        <w:ind w:left="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374023437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01220703125" w:line="237.4049949645996" w:lineRule="auto"/>
        <w:ind w:left="715.679931640625" w:right="1.136474609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cloud. The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 </w:t>
      </w:r>
      <w:r w:rsidDel="00000000" w:rsidR="00000000" w:rsidRPr="00000000">
        <w:drawing>
          <wp:anchor allowOverlap="1" behindDoc="1" distB="19050" distT="19050" distL="19050" distR="19050" hidden="0" layoutInCell="1" locked="0" relativeHeight="0" simplePos="0">
            <wp:simplePos x="0" y="0"/>
            <wp:positionH relativeFrom="column">
              <wp:posOffset>524180</wp:posOffset>
            </wp:positionH>
            <wp:positionV relativeFrom="paragraph">
              <wp:posOffset>320421</wp:posOffset>
            </wp:positionV>
            <wp:extent cx="4876800" cy="4495800"/>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76800" cy="449580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54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Computing Providers: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1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Azure, Google Cloud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27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Laboratory Exercise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18.0799865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Procedure: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8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 create an AWS 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0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the Amazon Web Services home page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8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Choose Create an AWS account.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1447.919921875" w:right="384.603271484375" w:hanging="3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Enter your account information, and then choose Verify email address. This will send a verification code to your specified email address.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Enter your verification code, and then choose Verify.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086.4799499511719" w:right="596.14501953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Enter a strong password for your root user, confirm it, and then choose Continue. 6. Choose Personal.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08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Enter your personal information.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9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Read and accept the AWS Customer Agreement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436.3998413085938" w:right="362.3779296875" w:hanging="350.63980102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Choose Continue. At this point, you'll receive an email message to confirm that your AWS account is ready to use. You can sign in to your new account by using the email address and password you provided during sign up. However, you can't use any AWS services until you finish activating your account.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444.8001098632812" w:right="371.25" w:hanging="340.560150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Enter the information about your payment method, and then choose Verify and Continue.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104.2399597167969" w:right="380.1232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You can't proceed with the sign-up process until you add a valid payment method. 12. Enter your country or region code from the list, and then enter a phone number where you can be reached in the next few minutes.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10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Enter the code displayed in the CAPTCHA, and then submit.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447.919921875" w:right="363.4814453125" w:hanging="343.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When the automated system contacts you, enter the PIN you receive and then submit.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10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Select one of the available AWS Support plans.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50521850586" w:lineRule="auto"/>
        <w:ind w:left="1444.8001098632812" w:right="377.49267578125" w:hanging="340.560150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Choose Complete sign up. A confirmation page appears that indicates that your account is being activated.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1438.5598754882812" w:right="374.564208984375" w:hanging="334.3199157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Check your email and spam folder for an email message that confirms your account was activated. Activation usually takes a few minutes but can sometimes take up to 24 hours.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400.372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After you receive the activation message, you have full access to all AWS services.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0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Walk through AWS home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7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Management Console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3876953125" w:line="240" w:lineRule="auto"/>
        <w:ind w:left="108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image below, five controls are highlighted within the navigation bar: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10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Account information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8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Region selector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189483642578"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pgSz w:h="16840" w:w="11920" w:orient="portrait"/>
          <w:pgMar w:bottom="995.2005767822266" w:top="1207.60009765625" w:left="1443.8400268554688" w:right="636.06323242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Service selector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Search box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AWS CloudShell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90429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29225" cy="6762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29225" cy="676275"/>
                    </a:xfrm>
                    <a:prstGeom prst="rect"/>
                    <a:ln/>
                  </pic:spPr>
                </pic:pic>
              </a:graphicData>
            </a:graphic>
          </wp:inline>
        </w:drawing>
      </w: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342900</wp:posOffset>
            </wp:positionH>
            <wp:positionV relativeFrom="paragraph">
              <wp:posOffset>114300</wp:posOffset>
            </wp:positionV>
            <wp:extent cx="4876800" cy="44958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449580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45166015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Post-Experiments Exercise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Extended Theory: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Check details about your account, including the address, contact information, billing settings, and more.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Add a screenshot 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Visit billing dashboard.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Add a screenshot 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Visit AWS global infrastructure- AWS Region menu.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Visit third highlighted menu the AWS service selector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Visit fifth highlighted item the AWS CloudShell icon.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8823242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Questions: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List advantages of Cloud Computing?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 copy)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Give some examples of AWS services to be used for Advanced DevOps?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 copy)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about AWS CloudShell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in Hand)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Conclusion: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in Hand)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what was performed in the experiment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Mention few applications of what was studied.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the significance of the studied topic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References: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NIST SP 800-145, The NIST Definition of Cloud Computing, Peter Mell Timothy Grance.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r:id="rId1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https://aws.amazon.com/</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200439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sectPr>
      <w:type w:val="continuous"/>
      <w:pgSz w:h="16840" w:w="11920" w:orient="portrait"/>
      <w:pgMar w:bottom="995.2005767822266" w:top="1207.6000976562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Darish Dias</w:t>
      <w:tab/>
      <w:tab/>
      <w:tab/>
      <w:tab/>
      <w:tab/>
      <w:tab/>
      <w:tab/>
      <w:tab/>
      <w:tab/>
      <w:tab/>
      <w:t xml:space="preserve">Roll no: 66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ws.amazon.com/"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