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aps/>
          <w:color w:val="888888"/>
          <w:sz w:val="24"/>
          <w:szCs w:val="24"/>
        </w:rPr>
        <w:t xml:space="preserve">PROJECT FINAL REPORT</w:t>
      </w:r>
    </w:p>
    <w:p>
      <w:pPr>
        <w:pBdr>
          <w:bottom w:val="single" w:color="0070C0" w:sz="12" w:space="1"/>
        </w:pBdr>
        <w:spacing w:after="120" w:before="120"/>
        <w:jc w:val="center"/>
      </w:pPr>
      <w:r>
        <w:rPr>
          <w:rFonts w:ascii="Arial" w:cs="Arial" w:eastAsia="Arial" w:hAnsi="Arial"/>
          <w:b/>
          <w:bCs/>
          <w:color w:val="1F4E79"/>
          <w:sz w:val="52"/>
          <w:szCs w:val="52"/>
        </w:rPr>
        <w:t xml:space="preserve">Omnichannel Trade Finance &amp;</w:t>
      </w:r>
    </w:p>
    <w:p>
      <w:pPr>
        <w:spacing w:after="240" w:before="0"/>
        <w:jc w:val="center"/>
      </w:pPr>
      <w:r>
        <w:rPr>
          <w:rFonts w:ascii="Arial" w:cs="Arial" w:eastAsia="Arial" w:hAnsi="Arial"/>
          <w:b/>
          <w:bCs/>
          <w:color w:val="1F4E79"/>
          <w:sz w:val="52"/>
          <w:szCs w:val="52"/>
        </w:rPr>
        <w:t xml:space="preserve">Analytics Dashboard</w:t>
      </w:r>
    </w:p>
    <w:p>
      <w:pPr>
        <w:spacing w:after="80" w:before="120"/>
        <w:jc w:val="center"/>
      </w:pPr>
      <w:r>
        <w:rPr>
          <w:rFonts w:ascii="Arial" w:cs="Arial" w:eastAsia="Arial" w:hAnsi="Arial"/>
          <w:color w:val="2E75B6"/>
          <w:sz w:val="26"/>
          <w:szCs w:val="26"/>
        </w:rPr>
        <w:t xml:space="preserve">Week 4: Insight Generation, Reporting &amp; Final Submission</w:t>
      </w:r>
    </w:p>
    <w:p>
      <w:pPr>
        <w:spacing w:after="480" w:before="80"/>
        <w:jc w:val="center"/>
      </w:pPr>
      <w:r>
        <w:rPr>
          <w:rFonts w:ascii="Arial" w:cs="Arial" w:eastAsia="Arial" w:hAnsi="Arial"/>
          <w:color w:val="666666"/>
          <w:sz w:val="22"/>
          <w:szCs w:val="22"/>
        </w:rPr>
        <w:t xml:space="preserve">Analyzing 52,122 Export Finance Deals  |  FY 2007 - 2025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Deals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Authorized</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Disbursed</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Disbursement Rate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E75B6"/>
                <w:sz w:val="26"/>
                <w:szCs w:val="26"/>
              </w:rPr>
              <w:t xml:space="preserve">52,122</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E75B6"/>
                <w:sz w:val="26"/>
                <w:szCs w:val="26"/>
              </w:rPr>
              <w:t xml:space="preserve">$263.87 Billion</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E75B6"/>
                <w:sz w:val="26"/>
                <w:szCs w:val="26"/>
              </w:rPr>
              <w:t xml:space="preserve">$223.03 Billion</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2E75B6"/>
                <w:sz w:val="26"/>
                <w:szCs w:val="26"/>
              </w:rPr>
              <w:t xml:space="preserve">84.52%</w:t>
            </w:r>
          </w:p>
        </w:tc>
      </w:tr>
    </w:tbl>
    <w:p>
      <w:pPr>
        <w:spacing w:after="80" w:before="80"/>
      </w:pPr>
      <w:r>
        <w:t xml:space="preserve"/>
      </w:r>
    </w:p>
    <w:p>
      <w:pPr>
        <w:spacing w:after="80" w:before="240"/>
        <w:jc w:val="center"/>
      </w:pPr>
      <w:r>
        <w:rPr>
          <w:rFonts w:ascii="Arial" w:cs="Arial" w:eastAsia="Arial" w:hAnsi="Arial"/>
          <w:color w:val="888888"/>
          <w:sz w:val="20"/>
          <w:szCs w:val="20"/>
        </w:rPr>
        <w:t xml:space="preserve">Technology Stack:  Power BI  |  Microsoft Excel  |  DAX  |  GitHub</w:t>
      </w:r>
    </w:p>
    <w:p>
      <w:pPr>
        <w:spacing w:after="720" w:before="0"/>
        <w:jc w:val="center"/>
      </w:pPr>
      <w:r>
        <w:rPr>
          <w:rFonts w:ascii="Arial" w:cs="Arial" w:eastAsia="Arial" w:hAnsi="Arial"/>
          <w:color w:val="888888"/>
          <w:sz w:val="20"/>
          <w:szCs w:val="20"/>
        </w:rPr>
        <w:t xml:space="preserve">Date: April 2026</w:t>
      </w:r>
    </w:p>
    <w:p>
      <w:r>
        <w:br w:type="page"/>
      </w:r>
    </w:p>
    <w:p>
      <w:pPr>
        <w:pStyle w:val="Heading1"/>
        <w:pBdr>
          <w:bottom w:val="single" w:color="2E75B6" w:sz="6" w:space="1"/>
        </w:pBdr>
        <w:spacing w:after="120" w:before="360"/>
      </w:pPr>
      <w:r>
        <w:rPr>
          <w:rFonts w:ascii="Arial" w:cs="Arial" w:eastAsia="Arial" w:hAnsi="Arial"/>
          <w:b/>
          <w:bCs/>
          <w:color w:val="1F4E79"/>
          <w:sz w:val="28"/>
          <w:szCs w:val="28"/>
        </w:rPr>
        <w:t xml:space="preserve">1. Executive Summary</w:t>
      </w:r>
    </w:p>
    <w:p>
      <w:pPr>
        <w:spacing w:after="120" w:before="60"/>
      </w:pPr>
      <w:r>
        <w:rPr>
          <w:rFonts w:ascii="Arial" w:cs="Arial" w:eastAsia="Arial" w:hAnsi="Arial"/>
          <w:color w:val="333333"/>
          <w:sz w:val="22"/>
          <w:szCs w:val="22"/>
        </w:rPr>
        <w:t xml:space="preserve">This report presents the findings from a four-week data analytics internship project focused on building an end-to-end Business Intelligence dashboard for export finance and trade deal analytics. The dataset comprises 52,122 export finance transactions spanning fiscal years 2007 to 2025, covering programs including Insurance, Working Capital, Guarantee, and Loan.</w:t>
      </w:r>
    </w:p>
    <w:p>
      <w:pPr>
        <w:spacing w:after="120" w:before="60"/>
      </w:pPr>
      <w:r>
        <w:rPr>
          <w:rFonts w:ascii="Arial" w:cs="Arial" w:eastAsia="Arial" w:hAnsi="Arial"/>
          <w:color w:val="333333"/>
          <w:sz w:val="22"/>
          <w:szCs w:val="22"/>
        </w:rPr>
        <w:t xml:space="preserve">The dashboard — built in Microsoft Power BI — unifies physical and digital trade data to deliver actionable insights for Store Managers, Inventory Planners, and Regional Sales Directors. The platform enables seamless filtering across fiscal years, programs, countries, and policy types to support data-driven decision-making.</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2. Key Performance Indicators</w:t>
      </w:r>
    </w:p>
    <w:p>
      <w:pPr>
        <w:spacing w:after="120" w:before="60"/>
      </w:pPr>
      <w:r>
        <w:rPr>
          <w:rFonts w:ascii="Arial" w:cs="Arial" w:eastAsia="Arial" w:hAnsi="Arial"/>
          <w:color w:val="333333"/>
          <w:sz w:val="22"/>
          <w:szCs w:val="22"/>
        </w:rPr>
        <w:t xml:space="preserve">The following KPIs were calculated using DAX measures built in Power BI: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Insight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Total Deals Processed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52,122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Near 100% approval rate (99.99%)</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Total Authorized Amount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$263.87 Billion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Across all programs 2007-2025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Total Disbursed Amount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$223.03 Billion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84.52% disbursement efficiency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Disbursement Rate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84.52%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Strong fund utilization rate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Peak Year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FY 2012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$35.80 Billion authorized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Lowest Year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FY 2018</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$3.32 Billion authorized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Small Business Amount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$61.37 Billion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23.26% of total authorized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Minority Owned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$7.06 Billion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Inclusive finance program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Women Owned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$4.34 Billion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Gender equity in trade finance</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3. Key Findings &amp; Data Insights</w:t>
      </w:r>
    </w:p>
    <w:p>
      <w:pPr>
        <w:pStyle w:val="Heading2"/>
        <w:spacing w:after="80" w:before="240"/>
      </w:pPr>
      <w:r>
        <w:rPr>
          <w:rFonts w:ascii="Arial" w:cs="Arial" w:eastAsia="Arial" w:hAnsi="Arial"/>
          <w:b/>
          <w:bCs/>
          <w:color w:val="2E75B6"/>
          <w:sz w:val="24"/>
          <w:szCs w:val="24"/>
        </w:rPr>
        <w:t xml:space="preserve">3.1 Authorization Trend (2007-2025)</w:t>
      </w:r>
    </w:p>
    <w:p>
      <w:pPr>
        <w:spacing w:after="120" w:before="60"/>
      </w:pPr>
      <w:r>
        <w:rPr>
          <w:rFonts w:ascii="Arial" w:cs="Arial" w:eastAsia="Arial" w:hAnsi="Arial"/>
          <w:color w:val="333333"/>
          <w:sz w:val="22"/>
          <w:szCs w:val="22"/>
        </w:rPr>
        <w:t xml:space="preserve">The line chart analysis reveals a clear boom-bust cycle in export finance authorizations:</w:t>
      </w:r>
    </w:p>
    <w:p>
      <w:pPr>
        <w:pStyle w:val="ListParagraph"/>
        <w:numPr>
          <w:ilvl w:val="0"/>
          <w:numId w:val="2"/>
        </w:numPr>
        <w:spacing w:after="40" w:before="40"/>
      </w:pPr>
      <w:r>
        <w:rPr>
          <w:rFonts w:ascii="Arial" w:cs="Arial" w:eastAsia="Arial" w:hAnsi="Arial"/>
          <w:color w:val="333333"/>
          <w:sz w:val="22"/>
          <w:szCs w:val="22"/>
        </w:rPr>
        <w:t xml:space="preserve">Growth phase (2007-2012): Authorizations grew steadily from $12.57B to a peak of $35.80B — a 185% increase driven by post-financial-crisis trade recovery and aggressive export promotion.</w:t>
      </w:r>
    </w:p>
    <w:p>
      <w:pPr>
        <w:pStyle w:val="ListParagraph"/>
        <w:numPr>
          <w:ilvl w:val="0"/>
          <w:numId w:val="2"/>
        </w:numPr>
        <w:spacing w:after="40" w:before="40"/>
      </w:pPr>
      <w:r>
        <w:rPr>
          <w:rFonts w:ascii="Arial" w:cs="Arial" w:eastAsia="Arial" w:hAnsi="Arial"/>
          <w:color w:val="333333"/>
          <w:sz w:val="22"/>
          <w:szCs w:val="22"/>
        </w:rPr>
        <w:t xml:space="preserve">Decline phase (2013-2018): A sharp contraction from $27.40B down to $3.32B, representing an 88% drop. This aligns with the Ex-Im Bank charter lapse (2015-2019), during which the bank could not approve new transactions.</w:t>
      </w:r>
    </w:p>
    <w:p>
      <w:pPr>
        <w:pStyle w:val="ListParagraph"/>
        <w:numPr>
          <w:ilvl w:val="0"/>
          <w:numId w:val="2"/>
        </w:numPr>
        <w:spacing w:after="40" w:before="40"/>
      </w:pPr>
      <w:r>
        <w:rPr>
          <w:rFonts w:ascii="Arial" w:cs="Arial" w:eastAsia="Arial" w:hAnsi="Arial"/>
          <w:color w:val="333333"/>
          <w:sz w:val="22"/>
          <w:szCs w:val="22"/>
        </w:rPr>
        <w:t xml:space="preserve">Recovery phase (2019-2025): Gradual recovery to approximately $8.74B in 2025, following the bank's reauthorization in 2019 under the EXIM Reauthorization Act.</w:t>
      </w:r>
    </w:p>
    <w:p>
      <w:pPr>
        <w:pStyle w:val="ListParagraph"/>
        <w:numPr>
          <w:ilvl w:val="0"/>
          <w:numId w:val="2"/>
        </w:numPr>
        <w:spacing w:after="40" w:before="40"/>
      </w:pPr>
      <w:r>
        <w:rPr>
          <w:rFonts w:ascii="Arial" w:cs="Arial" w:eastAsia="Arial" w:hAnsi="Arial"/>
          <w:color w:val="333333"/>
          <w:sz w:val="22"/>
          <w:szCs w:val="22"/>
        </w:rPr>
        <w:t xml:space="preserve">COVID-19 Impact (2020): A dip to $5.40B in FY2020, followed by partial recovery in 2021 ($5.77B).</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3.2 Program Performance Analysis</w:t>
      </w:r>
    </w:p>
    <w:p>
      <w:pPr>
        <w:spacing w:after="120" w:before="60"/>
      </w:pPr>
      <w:r>
        <w:rPr>
          <w:rFonts w:ascii="Arial" w:cs="Arial" w:eastAsia="Arial" w:hAnsi="Arial"/>
          <w:color w:val="333333"/>
          <w:sz w:val="22"/>
          <w:szCs w:val="22"/>
        </w:rPr>
        <w:t xml:space="preserve">The bar chart analysis of authorized amounts by program type reveals: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Program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Deal Count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of Deals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Insight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Insurance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42,627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81.78%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Dominant program — highest volume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Working Capital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6,205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11.90%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Growing in recent years (2018-2025)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Guarantee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2,918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Highest per-deal authorization value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Loan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372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0.71%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Smallest volume, strategic deals</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Insurance dominates deal volume (81.78%) reflecting broad-based trade credit insurance demand across exporters.</w:t>
      </w:r>
    </w:p>
    <w:p>
      <w:pPr>
        <w:pStyle w:val="ListParagraph"/>
        <w:numPr>
          <w:ilvl w:val="0"/>
          <w:numId w:val="2"/>
        </w:numPr>
        <w:spacing w:after="40" w:before="40"/>
      </w:pPr>
      <w:r>
        <w:rPr>
          <w:rFonts w:ascii="Arial" w:cs="Arial" w:eastAsia="Arial" w:hAnsi="Arial"/>
          <w:color w:val="333333"/>
          <w:sz w:val="22"/>
          <w:szCs w:val="22"/>
        </w:rPr>
        <w:t xml:space="preserve">Guarantee program, despite fewer deals (2,918), carries the highest individual deal values — indicating large strategic transactions.</w:t>
      </w:r>
    </w:p>
    <w:p>
      <w:pPr>
        <w:pStyle w:val="ListParagraph"/>
        <w:numPr>
          <w:ilvl w:val="0"/>
          <w:numId w:val="2"/>
        </w:numPr>
        <w:spacing w:after="40" w:before="40"/>
      </w:pPr>
      <w:r>
        <w:rPr>
          <w:rFonts w:ascii="Arial" w:cs="Arial" w:eastAsia="Arial" w:hAnsi="Arial"/>
          <w:color w:val="333333"/>
          <w:sz w:val="22"/>
          <w:szCs w:val="22"/>
        </w:rPr>
        <w:t xml:space="preserve">Working Capital has grown significantly post-2018, with 29.80% of its total authorization concentrated in FY2018-2025, signalling a shift toward liquidity support for exporters.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3.3 Geographic Distribution (Top Countries)</w:t>
      </w:r>
    </w:p>
    <w:p>
      <w:pPr>
        <w:spacing w:after="120" w:before="60"/>
      </w:pPr>
      <w:r>
        <w:rPr>
          <w:rFonts w:ascii="Arial" w:cs="Arial" w:eastAsia="Arial" w:hAnsi="Arial"/>
          <w:color w:val="333333"/>
          <w:sz w:val="22"/>
          <w:szCs w:val="22"/>
        </w:rPr>
        <w:t xml:space="preserve">The Top 10 Countries bar chart highlights geographic concentration: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Authorized Amount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Strategic Significance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Multiple - Countries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$62.91 Billion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Bulk/portfolio deals across regions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United States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$34.70 Billion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Domestic export support programs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Mexico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$17.58 Billion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USMCA trade corridor priority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India</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$10.40 Billion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Emerging market expansion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Turkey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$9.67 Billion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Strategic European gateway</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Mexico and India represent the two largest single-country markets — reflecting strong bilateral trade relationships.</w:t>
      </w:r>
    </w:p>
    <w:p>
      <w:pPr>
        <w:pStyle w:val="ListParagraph"/>
        <w:numPr>
          <w:ilvl w:val="0"/>
          <w:numId w:val="2"/>
        </w:numPr>
        <w:spacing w:after="40" w:before="40"/>
      </w:pPr>
      <w:r>
        <w:rPr>
          <w:rFonts w:ascii="Arial" w:cs="Arial" w:eastAsia="Arial" w:hAnsi="Arial"/>
          <w:color w:val="333333"/>
          <w:sz w:val="22"/>
          <w:szCs w:val="22"/>
        </w:rPr>
        <w:t xml:space="preserve">The 'Multiple-Countries' category ($62.91B) represents portfolio insurance deals covering multiple export destinations simultaneously.</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3.4 Heatmap Insights — Program Performance by Year</w:t>
      </w:r>
    </w:p>
    <w:p>
      <w:pPr>
        <w:spacing w:after="120" w:before="60"/>
      </w:pPr>
      <w:r>
        <w:rPr>
          <w:rFonts w:ascii="Arial" w:cs="Arial" w:eastAsia="Arial" w:hAnsi="Arial"/>
          <w:color w:val="333333"/>
          <w:sz w:val="22"/>
          <w:szCs w:val="22"/>
        </w:rPr>
        <w:t xml:space="preserve">The Program Performance Heatmap reveals intensity patterns across programs and fiscal years:</w:t>
      </w:r>
    </w:p>
    <w:p>
      <w:pPr>
        <w:pStyle w:val="ListParagraph"/>
        <w:numPr>
          <w:ilvl w:val="0"/>
          <w:numId w:val="2"/>
        </w:numPr>
        <w:spacing w:after="40" w:before="40"/>
      </w:pPr>
      <w:r>
        <w:rPr>
          <w:rFonts w:ascii="Arial" w:cs="Arial" w:eastAsia="Arial" w:hAnsi="Arial"/>
          <w:color w:val="333333"/>
          <w:sz w:val="22"/>
          <w:szCs w:val="22"/>
        </w:rPr>
        <w:t xml:space="preserve">Insurance shows consistently dark blue cells from 2009 to 2014 — peak activity period coinciding with post-recession trade recovery.</w:t>
      </w:r>
    </w:p>
    <w:p>
      <w:pPr>
        <w:pStyle w:val="ListParagraph"/>
        <w:numPr>
          <w:ilvl w:val="0"/>
          <w:numId w:val="2"/>
        </w:numPr>
        <w:spacing w:after="40" w:before="40"/>
      </w:pPr>
      <w:r>
        <w:rPr>
          <w:rFonts w:ascii="Arial" w:cs="Arial" w:eastAsia="Arial" w:hAnsi="Arial"/>
          <w:color w:val="333333"/>
          <w:sz w:val="22"/>
          <w:szCs w:val="22"/>
        </w:rPr>
        <w:t xml:space="preserve">Guarantee program shows highest intensity in 2011-2012, indicating large strategic deals during the peak authorization period.</w:t>
      </w:r>
    </w:p>
    <w:p>
      <w:pPr>
        <w:pStyle w:val="ListParagraph"/>
        <w:numPr>
          <w:ilvl w:val="0"/>
          <w:numId w:val="2"/>
        </w:numPr>
        <w:spacing w:after="40" w:before="40"/>
      </w:pPr>
      <w:r>
        <w:rPr>
          <w:rFonts w:ascii="Arial" w:cs="Arial" w:eastAsia="Arial" w:hAnsi="Arial"/>
          <w:color w:val="333333"/>
          <w:sz w:val="22"/>
          <w:szCs w:val="22"/>
        </w:rPr>
        <w:t xml:space="preserve">Working Capital shows increasing intensity from 2019 onwards, confirming the program's post-reauthorization growth.</w:t>
      </w:r>
    </w:p>
    <w:p>
      <w:pPr>
        <w:pStyle w:val="ListParagraph"/>
        <w:numPr>
          <w:ilvl w:val="0"/>
          <w:numId w:val="2"/>
        </w:numPr>
        <w:spacing w:after="40" w:before="40"/>
      </w:pPr>
      <w:r>
        <w:rPr>
          <w:rFonts w:ascii="Arial" w:cs="Arial" w:eastAsia="Arial" w:hAnsi="Arial"/>
          <w:color w:val="333333"/>
          <w:sz w:val="22"/>
          <w:szCs w:val="22"/>
        </w:rPr>
        <w:t xml:space="preserve">Loan program remains consistently low intensity throughout — confirming its niche, high-value positioning.</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4. Strategic Recommendations</w:t>
      </w:r>
    </w:p>
    <w:p>
      <w:pPr>
        <w:pStyle w:val="Heading2"/>
        <w:spacing w:after="80" w:before="240"/>
      </w:pPr>
      <w:r>
        <w:rPr>
          <w:rFonts w:ascii="Arial" w:cs="Arial" w:eastAsia="Arial" w:hAnsi="Arial"/>
          <w:b/>
          <w:bCs/>
          <w:color w:val="2E75B6"/>
          <w:sz w:val="24"/>
          <w:szCs w:val="24"/>
        </w:rPr>
        <w:t xml:space="preserve">4.1 For Store Managers / Program Managers</w:t>
      </w:r>
    </w:p>
    <w:p>
      <w:pPr>
        <w:pStyle w:val="ListParagraph"/>
        <w:numPr>
          <w:ilvl w:val="0"/>
          <w:numId w:val="2"/>
        </w:numPr>
        <w:spacing w:after="40" w:before="40"/>
      </w:pPr>
      <w:r>
        <w:rPr>
          <w:rFonts w:ascii="Arial" w:cs="Arial" w:eastAsia="Arial" w:hAnsi="Arial"/>
          <w:color w:val="333333"/>
          <w:sz w:val="22"/>
          <w:szCs w:val="22"/>
        </w:rPr>
        <w:t xml:space="preserve">Expand Insurance program capacity: With 81.78% deal share, the Insurance program is the backbone of operations. Invest in digital processing infrastructure to reduce approval turnaround time.</w:t>
      </w:r>
    </w:p>
    <w:p>
      <w:pPr>
        <w:pStyle w:val="ListParagraph"/>
        <w:numPr>
          <w:ilvl w:val="0"/>
          <w:numId w:val="2"/>
        </w:numPr>
        <w:spacing w:after="40" w:before="40"/>
      </w:pPr>
      <w:r>
        <w:rPr>
          <w:rFonts w:ascii="Arial" w:cs="Arial" w:eastAsia="Arial" w:hAnsi="Arial"/>
          <w:color w:val="333333"/>
          <w:sz w:val="22"/>
          <w:szCs w:val="22"/>
        </w:rPr>
        <w:t xml:space="preserve">Monitor Working Capital closely: The 29.80% post-2018 concentration signals growing exporter demand for liquidity support. Consider increasing Working Capital program limits ahead of Q4 cycles.</w:t>
      </w:r>
    </w:p>
    <w:p>
      <w:pPr>
        <w:pStyle w:val="ListParagraph"/>
        <w:numPr>
          <w:ilvl w:val="0"/>
          <w:numId w:val="2"/>
        </w:numPr>
        <w:spacing w:after="40" w:before="40"/>
      </w:pPr>
      <w:r>
        <w:rPr>
          <w:rFonts w:ascii="Arial" w:cs="Arial" w:eastAsia="Arial" w:hAnsi="Arial"/>
          <w:color w:val="333333"/>
          <w:sz w:val="22"/>
          <w:szCs w:val="22"/>
        </w:rPr>
        <w:t xml:space="preserve">Track Mexico and India as priority markets: Both countries show sustained authorization volumes. Assign dedicated relationship managers for these corridors.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4.2 For Inventory Planners / Operations Teams</w:t>
      </w:r>
    </w:p>
    <w:p>
      <w:pPr>
        <w:pStyle w:val="ListParagraph"/>
        <w:numPr>
          <w:ilvl w:val="0"/>
          <w:numId w:val="2"/>
        </w:numPr>
        <w:spacing w:after="40" w:before="40"/>
      </w:pPr>
      <w:r>
        <w:rPr>
          <w:rFonts w:ascii="Arial" w:cs="Arial" w:eastAsia="Arial" w:hAnsi="Arial"/>
          <w:color w:val="333333"/>
          <w:sz w:val="22"/>
          <w:szCs w:val="22"/>
        </w:rPr>
        <w:t xml:space="preserve">Prepare for Q4 spikes: Historical data shows authorization volumes consistently higher in Q4 (October-December). Pre-position processing capacity and staffing for this period.</w:t>
      </w:r>
    </w:p>
    <w:p>
      <w:pPr>
        <w:pStyle w:val="ListParagraph"/>
        <w:numPr>
          <w:ilvl w:val="0"/>
          <w:numId w:val="2"/>
        </w:numPr>
        <w:spacing w:after="40" w:before="40"/>
      </w:pPr>
      <w:r>
        <w:rPr>
          <w:rFonts w:ascii="Arial" w:cs="Arial" w:eastAsia="Arial" w:hAnsi="Arial"/>
          <w:color w:val="333333"/>
          <w:sz w:val="22"/>
          <w:szCs w:val="22"/>
        </w:rPr>
        <w:t xml:space="preserve">Address the 15.48% undisbursed gap: With a disbursement rate of 84.52%, approximately $40.84B authorized was never disbursed. Investigate root causes (deal cancellations, exporter withdrawal) to improve fund utilization.</w:t>
      </w:r>
    </w:p>
    <w:p>
      <w:pPr>
        <w:pStyle w:val="ListParagraph"/>
        <w:numPr>
          <w:ilvl w:val="0"/>
          <w:numId w:val="2"/>
        </w:numPr>
        <w:spacing w:after="40" w:before="40"/>
      </w:pPr>
      <w:r>
        <w:rPr>
          <w:rFonts w:ascii="Arial" w:cs="Arial" w:eastAsia="Arial" w:hAnsi="Arial"/>
          <w:color w:val="333333"/>
          <w:sz w:val="22"/>
          <w:szCs w:val="22"/>
        </w:rPr>
        <w:t xml:space="preserve">Focus on small business pipeline: At $61.37B (23.26% of total), small business authorizations represent a significant and growing segment requiring dedicated support workflows.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4.3 For Regional Sales Directors / Leadership</w:t>
      </w:r>
    </w:p>
    <w:p>
      <w:pPr>
        <w:pStyle w:val="ListParagraph"/>
        <w:numPr>
          <w:ilvl w:val="0"/>
          <w:numId w:val="2"/>
        </w:numPr>
        <w:spacing w:after="40" w:before="40"/>
      </w:pPr>
      <w:r>
        <w:rPr>
          <w:rFonts w:ascii="Arial" w:cs="Arial" w:eastAsia="Arial" w:hAnsi="Arial"/>
          <w:color w:val="333333"/>
          <w:sz w:val="22"/>
          <w:szCs w:val="22"/>
        </w:rPr>
        <w:t xml:space="preserve">Reauthorization dividend: The post-2019 recovery trajectory ($8.21B in 2019 to $8.74B in 2025) confirms the bank's restoration of market confidence. Accelerate deal pipelines to recapture pre-2015 volumes.</w:t>
      </w:r>
    </w:p>
    <w:p>
      <w:pPr>
        <w:pStyle w:val="ListParagraph"/>
        <w:numPr>
          <w:ilvl w:val="0"/>
          <w:numId w:val="2"/>
        </w:numPr>
        <w:spacing w:after="40" w:before="40"/>
      </w:pPr>
      <w:r>
        <w:rPr>
          <w:rFonts w:ascii="Arial" w:cs="Arial" w:eastAsia="Arial" w:hAnsi="Arial"/>
          <w:color w:val="333333"/>
          <w:sz w:val="22"/>
          <w:szCs w:val="22"/>
        </w:rPr>
        <w:t xml:space="preserve">Diversify beyond top 5 countries: The heavy concentration in Multiple-Countries, US, Mexico, India, and Turkey creates geographic risk. Target emerging corridors in Southeast Asia and Africa.</w:t>
      </w:r>
    </w:p>
    <w:p>
      <w:pPr>
        <w:pStyle w:val="ListParagraph"/>
        <w:numPr>
          <w:ilvl w:val="0"/>
          <w:numId w:val="2"/>
        </w:numPr>
        <w:spacing w:after="40" w:before="40"/>
      </w:pPr>
      <w:r>
        <w:rPr>
          <w:rFonts w:ascii="Arial" w:cs="Arial" w:eastAsia="Arial" w:hAnsi="Arial"/>
          <w:color w:val="333333"/>
          <w:sz w:val="22"/>
          <w:szCs w:val="22"/>
        </w:rPr>
        <w:t xml:space="preserve">Leverage inclusive finance data: With $7.06B to minority-owned and $4.34B to women-owned businesses, publish impact reports to strengthen ESG positioning and attract development finance partnerships.</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5. Dashboard Architecture Overview</w:t>
      </w:r>
    </w:p>
    <w:p>
      <w:pPr>
        <w:spacing w:after="120" w:before="60"/>
      </w:pPr>
      <w:r>
        <w:rPr>
          <w:rFonts w:ascii="Arial" w:cs="Arial" w:eastAsia="Arial" w:hAnsi="Arial"/>
          <w:color w:val="333333"/>
          <w:sz w:val="22"/>
          <w:szCs w:val="22"/>
        </w:rPr>
        <w:t xml:space="preserve">The Power BI dashboard was built following the Week 3 architecture specifications: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Fields Used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Question Answered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Authorization Trend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Line Chart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Fiscal Year, Total Authorized, Deal Count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How have authorizations changed over time?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Program Performance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Bar Chart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Program, Total Authorized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Which programs drive the most volume?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Top 10 Countries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Bar Chart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Country, Total Authorized (Top N filter)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Where are deals geographically concentrated?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Program Heatmap</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Matrix + Conditional Formatting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Program, Fiscal Year, Total Authorized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Which program-year combinations show peak activity?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KPI Cards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Card Visual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DAX Measures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What are the headline performance numbers?</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5.1 DAX Measures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Summary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Total Authorized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SUM(Approved/Declined Amount)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Currency $</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Total Disbursed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SUM(Disbursed/Shipped Amount)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Currency $</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Deal Count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COUNTROWS(Sheet1)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Whole Number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Disbursement Rate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DIVIDE(Disbursed, Authorized, 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YoY Growth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SAMEPERIODLASTYEAR comparison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MoM Growth</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DATEADD -1 MONTH comparison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Approved Amount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CALCULATE filtered by Decision=Approved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Currency $</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Total Outstanding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SUM(Outstanding Exposure Amount)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Currency $</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5.2 Slicers Implemented</w:t>
      </w:r>
    </w:p>
    <w:p>
      <w:pPr>
        <w:pStyle w:val="ListParagraph"/>
        <w:numPr>
          <w:ilvl w:val="0"/>
          <w:numId w:val="2"/>
        </w:numPr>
        <w:spacing w:after="40" w:before="40"/>
      </w:pPr>
      <w:r>
        <w:rPr>
          <w:rFonts w:ascii="Arial" w:cs="Arial" w:eastAsia="Arial" w:hAnsi="Arial"/>
          <w:color w:val="333333"/>
          <w:sz w:val="22"/>
          <w:szCs w:val="22"/>
        </w:rPr>
        <w:t xml:space="preserve">Fiscal Year — Between style range slider (2007 to 2025)</w:t>
      </w:r>
    </w:p>
    <w:p>
      <w:pPr>
        <w:pStyle w:val="ListParagraph"/>
        <w:numPr>
          <w:ilvl w:val="0"/>
          <w:numId w:val="2"/>
        </w:numPr>
        <w:spacing w:after="40" w:before="40"/>
      </w:pPr>
      <w:r>
        <w:rPr>
          <w:rFonts w:ascii="Arial" w:cs="Arial" w:eastAsia="Arial" w:hAnsi="Arial"/>
          <w:color w:val="333333"/>
          <w:sz w:val="22"/>
          <w:szCs w:val="22"/>
        </w:rPr>
        <w:t xml:space="preserve">Program — Dropdown (Insurance, Working Capital, Guarantee, Loan)</w:t>
      </w:r>
    </w:p>
    <w:p>
      <w:pPr>
        <w:pStyle w:val="ListParagraph"/>
        <w:numPr>
          <w:ilvl w:val="0"/>
          <w:numId w:val="2"/>
        </w:numPr>
        <w:spacing w:after="40" w:before="40"/>
      </w:pPr>
      <w:r>
        <w:rPr>
          <w:rFonts w:ascii="Arial" w:cs="Arial" w:eastAsia="Arial" w:hAnsi="Arial"/>
          <w:color w:val="333333"/>
          <w:sz w:val="22"/>
          <w:szCs w:val="22"/>
        </w:rPr>
        <w:t xml:space="preserve">Country — Dropdown with Search enabled (100+ countries)</w:t>
      </w:r>
    </w:p>
    <w:p>
      <w:pPr>
        <w:pStyle w:val="ListParagraph"/>
        <w:numPr>
          <w:ilvl w:val="0"/>
          <w:numId w:val="2"/>
        </w:numPr>
        <w:spacing w:after="40" w:before="40"/>
      </w:pPr>
      <w:r>
        <w:rPr>
          <w:rFonts w:ascii="Arial" w:cs="Arial" w:eastAsia="Arial" w:hAnsi="Arial"/>
          <w:color w:val="333333"/>
          <w:sz w:val="22"/>
          <w:szCs w:val="22"/>
        </w:rPr>
        <w:t xml:space="preserve">Policy Type — Dropdown (ENB, ESC, EXP, ESS, FB)</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6. Technology Stack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Used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 Preparation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Microsoft Excel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Initial data exploration and cleaning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Data Analysis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Python (Pandas)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Statistical analysis and insight generation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 Modeling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Power BI Desktop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DAX measures and data relationships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Power BI Desktop</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Interactive charts, slicers, heatmaps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 Intelligence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DAX CALENDAR() function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YoY and MoM time intelligence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Version Control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GitHub</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Repository with README and screenshots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7. Conclusion</w:t>
      </w:r>
    </w:p>
    <w:p>
      <w:pPr>
        <w:spacing w:after="120" w:before="60"/>
      </w:pPr>
      <w:r>
        <w:rPr>
          <w:rFonts w:ascii="Arial" w:cs="Arial" w:eastAsia="Arial" w:hAnsi="Arial"/>
          <w:color w:val="333333"/>
          <w:sz w:val="22"/>
          <w:szCs w:val="22"/>
        </w:rPr>
        <w:t xml:space="preserve">This project successfully delivered an end-to-end Business Intelligence pipeline and interactive Power BI dashboard for export finance analytics. The platform processes 52,122 trade transactions spanning 19 fiscal years and delivers actionable insights across four key dimensions: temporal trends, program performance, geographic distribution, and policy type analysis.</w:t>
      </w:r>
    </w:p>
    <w:p>
      <w:pPr>
        <w:spacing w:after="120" w:before="60"/>
      </w:pPr>
      <w:r>
        <w:rPr>
          <w:rFonts w:ascii="Arial" w:cs="Arial" w:eastAsia="Arial" w:hAnsi="Arial"/>
          <w:color w:val="333333"/>
          <w:sz w:val="22"/>
          <w:szCs w:val="22"/>
        </w:rPr>
        <w:t xml:space="preserve">The most significant finding is the 2012 authorization peak ($35.80B) followed by the dramatic 2015-2018 decline due to the Ex-Im Bank charter lapse — a critical risk event that reduced annual authorizations by 88%. The post-2019 recovery trajectory, while positive, has yet to reach pre-lapse volumes, presenting a clear growth opportunity.</w:t>
      </w:r>
    </w:p>
    <w:p>
      <w:pPr>
        <w:spacing w:after="120" w:before="60"/>
      </w:pPr>
      <w:r>
        <w:rPr>
          <w:rFonts w:ascii="Arial" w:cs="Arial" w:eastAsia="Arial" w:hAnsi="Arial"/>
          <w:color w:val="333333"/>
          <w:sz w:val="22"/>
          <w:szCs w:val="22"/>
        </w:rPr>
        <w:t xml:space="preserve">The dashboard's interactive slicers enable all three user personas (Program Managers, Operations Teams, and Regional Directors) to drill into the data and make evidence-based decisions. The 84.52% disbursement rate, while strong, reveals a $40.84B gap that warrants operational investigation.</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28"/>
          <w:szCs w:val="28"/>
        </w:rPr>
        <w:t xml:space="preserve">8. GitHub Repository</w:t>
      </w:r>
    </w:p>
    <w:p>
      <w:pPr>
        <w:spacing w:after="120" w:before="60"/>
      </w:pPr>
      <w:r>
        <w:rPr>
          <w:rFonts w:ascii="Arial" w:cs="Arial" w:eastAsia="Arial" w:hAnsi="Arial"/>
          <w:color w:val="333333"/>
          <w:sz w:val="22"/>
          <w:szCs w:val="22"/>
        </w:rPr>
        <w:t xml:space="preserve">All project files have been committed to the GitHub repository with the following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Export_Finance_Dashboard_2007_2025.pbix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Power BI dashboard file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FINAL_CLEANED.xlsx</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Cleaned and transformed dataset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dashboard_preview.png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High-resolution dashboard screenshot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README.md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Project description, setup instructions, and insights summary</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Repository name: Export-Finance-Analytics-Dashboard</w:t>
      </w:r>
    </w:p>
    <w:p>
      <w:pPr>
        <w:pStyle w:val="ListParagraph"/>
        <w:numPr>
          <w:ilvl w:val="0"/>
          <w:numId w:val="2"/>
        </w:numPr>
        <w:spacing w:after="40" w:before="40"/>
      </w:pPr>
      <w:r>
        <w:rPr>
          <w:rFonts w:ascii="Arial" w:cs="Arial" w:eastAsia="Arial" w:hAnsi="Arial"/>
          <w:color w:val="333333"/>
          <w:sz w:val="22"/>
          <w:szCs w:val="22"/>
        </w:rPr>
        <w:t xml:space="preserve">All SQL scripts and Python notebooks committed with semantic commit messages</w:t>
      </w:r>
    </w:p>
    <w:p>
      <w:pPr>
        <w:pStyle w:val="ListParagraph"/>
        <w:numPr>
          <w:ilvl w:val="0"/>
          <w:numId w:val="2"/>
        </w:numPr>
        <w:spacing w:after="40" w:before="40"/>
      </w:pPr>
      <w:r>
        <w:rPr>
          <w:rFonts w:ascii="Arial" w:cs="Arial" w:eastAsia="Arial" w:hAnsi="Arial"/>
          <w:color w:val="333333"/>
          <w:sz w:val="22"/>
          <w:szCs w:val="22"/>
        </w:rPr>
        <w:t xml:space="preserve">README.md includes dataset description, DAX measure documentation, and dashboard screenshots</w:t>
      </w:r>
    </w:p>
    <w:p>
      <w:pPr>
        <w:spacing w:after="80" w:before="80"/>
      </w:pPr>
      <w:r>
        <w:t xml:space="preserve"/>
      </w:r>
    </w:p>
    <w:p>
      <w:pPr>
        <w:pBdr>
          <w:bottom w:val="single" w:color="CCCCCC" w:sz="2" w:space="1"/>
        </w:pBdr>
        <w:spacing w:after="120" w:before="120"/>
      </w:pPr>
      <w:r>
        <w:t xml:space="preserve"/>
      </w:r>
    </w:p>
    <w:p>
      <w:pPr>
        <w:spacing w:after="80" w:before="240"/>
        <w:jc w:val="center"/>
      </w:pPr>
      <w:r>
        <w:rPr>
          <w:rFonts w:ascii="Arial" w:cs="Arial" w:eastAsia="Arial" w:hAnsi="Arial"/>
          <w:b/>
          <w:bCs/>
          <w:caps/>
          <w:color w:val="888888"/>
          <w:sz w:val="20"/>
          <w:szCs w:val="20"/>
        </w:rPr>
        <w:t xml:space="preserve">End of Report</w:t>
      </w:r>
    </w:p>
    <w:p>
      <w:pPr>
        <w:spacing w:after="0" w:before="0"/>
        <w:jc w:val="center"/>
      </w:pPr>
      <w:r>
        <w:rPr>
          <w:rFonts w:ascii="Arial" w:cs="Arial" w:eastAsia="Arial" w:hAnsi="Arial"/>
          <w:color w:val="AAAAAA"/>
          <w:sz w:val="18"/>
          <w:szCs w:val="18"/>
        </w:rPr>
        <w:t xml:space="preserve">Omnichannel Trade Finance &amp; Analytics Dashboard  |  Week 4 Final Report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666666"/>
        <w:sz w:val="18"/>
        <w:szCs w:val="18"/>
      </w:rPr>
      <w:t xml:space="preserve">Confidential  |  Export Finance Analytics Project</w:t>
    </w:r>
    <w:r>
      <w:rPr>
        <w:rFonts w:ascii="Arial" w:cs="Arial" w:eastAsia="Arial" w:hAnsi="Arial"/>
        <w:color w:val="666666"/>
        <w:sz w:val="18"/>
        <w:szCs w:val="18"/>
      </w:rPr>
      <w:t xml:space="preserve">	Page </w:t>
    </w:r>
    <w:fldSimple w:instr="PAGE">
      <w:r>
        <w:rPr>
          <w:rFonts w:ascii="Arial" w:cs="Arial" w:eastAsia="Arial" w:hAnsi="Arial"/>
          <w:color w:val="66666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666666"/>
        <w:sz w:val="18"/>
        <w:szCs w:val="18"/>
      </w:rPr>
      <w:t xml:space="preserve">Omnichannel Trade Finance &amp; Analytics Dashboard  |  Week 4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2026-04-13T12:29:06.482Z</dcterms:created>
  <dcterms:modified xsi:type="dcterms:W3CDTF">2026-04-13T12:29:06.483Z</dcterms:modified>
</cp:coreProperties>
</file>

<file path=docProps/custom.xml><?xml version="1.0" encoding="utf-8"?>
<Properties xmlns="http://schemas.openxmlformats.org/officeDocument/2006/custom-properties" xmlns:vt="http://schemas.openxmlformats.org/officeDocument/2006/docPropsVTypes"/>
</file>