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2C446">
      <w:pPr>
        <w:spacing w:before="160" w:after="80"/>
        <w:jc w:val="center"/>
      </w:pPr>
      <w:r>
        <w:rPr>
          <w:rFonts w:ascii="Arial" w:hAnsi="Arial" w:eastAsia="Arial" w:cs="Arial"/>
          <w:b/>
          <w:bCs/>
          <w:color w:val="1A3A6B"/>
          <w:sz w:val="36"/>
          <w:szCs w:val="36"/>
        </w:rPr>
        <w:t>CONTRATO DE PRESTAÇÃO DE SERVIÇOS</w:t>
      </w:r>
    </w:p>
    <w:p w14:paraId="7C2CE16B">
      <w:pPr>
        <w:spacing w:before="0" w:after="80"/>
        <w:jc w:val="center"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>Oráculo de Conteúdo — Sistema Inteligente de Conteúdo Digital</w:t>
      </w:r>
    </w:p>
    <w:p w14:paraId="66A46B27">
      <w:pPr>
        <w:pBdr>
          <w:bottom w:val="single" w:color="1A3A6B" w:sz="2" w:space="4"/>
        </w:pBdr>
        <w:spacing w:before="360" w:after="160"/>
      </w:pPr>
      <w:bookmarkStart w:id="0" w:name="_GoBack"/>
      <w:bookmarkEnd w:id="0"/>
      <w:r>
        <w:rPr>
          <w:rFonts w:ascii="Arial" w:hAnsi="Arial" w:eastAsia="Arial" w:cs="Arial"/>
          <w:b/>
          <w:bCs/>
          <w:color w:val="1A3A6B"/>
          <w:sz w:val="26"/>
          <w:szCs w:val="26"/>
        </w:rPr>
        <w:t>IDENTIFICAÇÃO DAS PARTES</w:t>
      </w:r>
    </w:p>
    <w:p w14:paraId="2DCA3B4D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As partes abaixo identificadas celebram o presente Contrato de Prestação de Serviços, que se regerá pelas cláusulas e condições a seguir estabelecidas:</w:t>
      </w:r>
    </w:p>
    <w:p w14:paraId="7FB082C0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06562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0" w:type="dxa"/>
            <w:tcBorders>
              <w:top w:val="single" w:color="1A3A6B" w:sz="4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E8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3A9238"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CONTRATANTE</w:t>
            </w:r>
          </w:p>
        </w:tc>
        <w:tc>
          <w:tcPr>
            <w:tcW w:w="4740" w:type="dxa"/>
            <w:tcBorders>
              <w:top w:val="single" w:color="1A3A6B" w:sz="4" w:space="0"/>
              <w:left w:val="single" w:color="CCCCCC" w:sz="0" w:space="0"/>
              <w:bottom w:val="single" w:color="CCCCCC" w:sz="0" w:space="0"/>
              <w:right w:val="nil"/>
            </w:tcBorders>
            <w:shd w:val="clear" w:color="auto" w:fill="E8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55CDFB">
            <w:r>
              <w:rPr>
                <w:rFonts w:ascii="Arial" w:hAnsi="Arial" w:eastAsia="Arial" w:cs="Arial"/>
                <w:b/>
                <w:bCs/>
                <w:color w:val="1A3A6B"/>
                <w:sz w:val="22"/>
                <w:szCs w:val="22"/>
              </w:rPr>
              <w:t>CONTRATADO</w:t>
            </w:r>
          </w:p>
        </w:tc>
      </w:tr>
      <w:tr w14:paraId="0A8D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1FBFB65C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HAU CACAU SUPERALIMENTOS LTDA</w:t>
            </w:r>
          </w:p>
          <w:p w14:paraId="534517A3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CNPJ: 54.857.294/0001-73</w:t>
            </w:r>
          </w:p>
          <w:p w14:paraId="52089A9E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Rua Cel. Massot, 233, Apto 201</w:t>
            </w:r>
          </w:p>
          <w:p w14:paraId="2DDEB22B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Bairro Tristeza – Porto Alegre/RS</w:t>
            </w:r>
          </w:p>
          <w:p w14:paraId="0C1D7DE4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CEP: 91.910-530</w:t>
            </w:r>
          </w:p>
          <w:p w14:paraId="328085FF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Representante: Bruno José Marques da Silva</w:t>
            </w:r>
          </w:p>
          <w:p w14:paraId="5F4F3D8A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CPF: 355.806.948-06</w:t>
            </w:r>
          </w:p>
        </w:tc>
        <w:tc>
          <w:tcPr>
            <w:tcW w:w="47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nil"/>
            </w:tcBorders>
            <w:tcMar>
              <w:top w:w="120" w:type="dxa"/>
              <w:left w:w="160" w:type="dxa"/>
              <w:bottom w:w="140" w:type="dxa"/>
              <w:right w:w="160" w:type="dxa"/>
            </w:tcMar>
          </w:tcPr>
          <w:p w14:paraId="1321AA09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BRUNO JORDÃO RODRIGUES DE OLIVEIRA</w:t>
            </w:r>
          </w:p>
          <w:p w14:paraId="43AC2365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CNPJ: 43.330.350/4000-19</w:t>
            </w:r>
          </w:p>
          <w:p w14:paraId="2993F7C3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Rua José Zorzenon, 520</w:t>
            </w:r>
          </w:p>
          <w:p w14:paraId="3DE55E47">
            <w:pPr>
              <w:spacing w:before="0" w:after="6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Bairro Ribeirânia</w:t>
            </w:r>
          </w:p>
          <w:p w14:paraId="26AF262B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Doravante denominado PRESTADOR DE SERVIÇOS</w:t>
            </w:r>
          </w:p>
        </w:tc>
      </w:tr>
    </w:tbl>
    <w:p w14:paraId="5425B88B"/>
    <w:p w14:paraId="63F4BF48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1. DO OBJETO</w:t>
      </w:r>
    </w:p>
    <w:p w14:paraId="6A2DB995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O presente contrato tem por objeto a prestação, pelo CONTRATADO, de serviços de implementação, operação e acompanhamento do sistema denominado “Oráculo de Conteúdo”, voltado à produção e publicação automatizada de conteúdo digital para as redes sociais do CONTRATANTE.</w:t>
      </w:r>
    </w:p>
    <w:p w14:paraId="27B82E58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O objetivo central desta parceria é eliminar o problema de tração digital, ampliar a visibilidade orgânica da marca HAU CACAU SUPERALIMENTOS e gerar demanda qualificada de forma constante e inteligente, por meio de conteúdos que perfuram o algoritmo e constroem autoridade no mercado.</w:t>
      </w:r>
    </w:p>
    <w:p w14:paraId="26B42E79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2. DOS ENTREGÁVEIS</w:t>
      </w:r>
    </w:p>
    <w:p w14:paraId="4AFFFA35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Os serviços contratados compreendem os seguintes entregáveis:</w:t>
      </w:r>
    </w:p>
    <w:p w14:paraId="44E3846E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43AD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1A3A6B" w:sz="4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E8EE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F00B6">
            <w:r>
              <w:rPr>
                <w:rFonts w:ascii="Arial" w:hAnsi="Arial" w:eastAsia="Arial" w:cs="Arial"/>
                <w:b/>
                <w:bCs/>
                <w:color w:val="1A3A6B"/>
                <w:sz w:val="21"/>
                <w:szCs w:val="21"/>
              </w:rPr>
              <w:t>ENTREGÁVEL</w:t>
            </w:r>
          </w:p>
        </w:tc>
        <w:tc>
          <w:tcPr>
            <w:tcW w:w="5960" w:type="dxa"/>
            <w:tcBorders>
              <w:top w:val="single" w:color="1A3A6B" w:sz="4" w:space="0"/>
              <w:left w:val="single" w:color="CCCCCC" w:sz="0" w:space="0"/>
              <w:bottom w:val="single" w:color="CCCCCC" w:sz="0" w:space="0"/>
              <w:right w:val="nil"/>
            </w:tcBorders>
            <w:shd w:val="clear" w:color="auto" w:fill="E8EE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090DD">
            <w:r>
              <w:rPr>
                <w:rFonts w:ascii="Arial" w:hAnsi="Arial" w:eastAsia="Arial" w:cs="Arial"/>
                <w:b/>
                <w:bCs/>
                <w:color w:val="1A3A6B"/>
                <w:sz w:val="21"/>
                <w:szCs w:val="21"/>
              </w:rPr>
              <w:t>DESCRIÇÃO</w:t>
            </w:r>
          </w:p>
        </w:tc>
      </w:tr>
      <w:tr w14:paraId="7209E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0F7F7"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Oráculo de Conteúdo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8F4BB4">
            <w:pPr>
              <w:jc w:val="both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Acesso ao sistema por 6 (seis) meses completos, com capacidade de geração e publicação diária de conteúdo. O volume de publicações está diretamente relacionado ao custo de API de geração de imagens suportado pelo Contratante — quanto maior o investimento em API, maior a cadencia diária de conteúdo gerado.</w:t>
            </w:r>
          </w:p>
        </w:tc>
      </w:tr>
      <w:tr w14:paraId="43896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5356D4"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Acompanhamento Estratégico (3 meses)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F7A20">
            <w:pPr>
              <w:jc w:val="both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Durante os 3 (três) primeiros meses de vigência, o Prestador realizará 1 (um) encontro a cada 15 (quinze) dias com o Contratante, totalizando até 6 (seis) sessões. Cada encontro terá duração mínima de 45 minutos, com foco em alinhamento do sistema, análise de métricas e projeções de crescimento.</w:t>
            </w:r>
          </w:p>
        </w:tc>
      </w:tr>
      <w:tr w14:paraId="1D17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FC049"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Curadoria de Funil e Estratégia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BDD2A2">
            <w:pPr>
              <w:jc w:val="both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O Prestador dedicará atenção à organização das ideias e à definição do funil de conteúdo mais adequado ao posicionamento do Contratante, garantindo que cada publicação gerada esteja alinhada à proposta comercial da marca e orientada para conversão.</w:t>
            </w:r>
          </w:p>
        </w:tc>
      </w:tr>
      <w:tr w14:paraId="34A5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CA426"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Conteúdo de Alta Perfuração de Bolha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34C17">
            <w:pPr>
              <w:jc w:val="both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Os conteúdos produzidos pelo Oráculo de Conteúdo são estruturados para furar a bolha do algoritmo e atrair novos públicos qualificados de forma orgânica — reduzindo a dependência de tráfego pago e aumentando a visibilidade, a autoridade e as vendas da marca.</w:t>
            </w:r>
          </w:p>
        </w:tc>
      </w:tr>
    </w:tbl>
    <w:p w14:paraId="30FDA2B4"/>
    <w:p w14:paraId="0EEE51E9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Observação importante sobre o custo de API: o sistema Oráculo de Conteúdo utiliza APIs externas de geração de imagem (como Midjourney,</w:t>
      </w:r>
      <w:r>
        <w:rPr>
          <w:rFonts w:hint="default" w:cs="Arial"/>
          <w:color w:val="555555"/>
          <w:sz w:val="22"/>
          <w:szCs w:val="22"/>
          <w:lang w:val="pt-BR"/>
        </w:rPr>
        <w:t>Nano Banana entre outros</w:t>
      </w:r>
      <w:r>
        <w:rPr>
          <w:rFonts w:ascii="Arial" w:hAnsi="Arial" w:eastAsia="Arial" w:cs="Arial"/>
          <w:color w:val="555555"/>
          <w:sz w:val="22"/>
          <w:szCs w:val="22"/>
        </w:rPr>
        <w:t>). Esses custos são de exclusiva responsabilidade do CONTRATANTE, cobrados diretamente pelas plataformas fornecedoras, e não estão incluídos na remuneração do CONTRATADO. O volume diário de conteúdo gerado é diretamente proporcional ao investimento que o CONTRATANTE decidir sustentar nessas plataformas.</w:t>
      </w:r>
    </w:p>
    <w:p w14:paraId="308228CC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3. DA VIGÊNCIA</w:t>
      </w:r>
    </w:p>
    <w:p w14:paraId="5A462DD2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Este contrato entra em vigor na data de sua assinatura e terá duração de 6 (seis) meses, podendo ser renovado de comum acordo entre as partes mediante simples manifestação por escrito (mensagem, e-mail ou documento) até 15 dias antes do término do prazo vigente.</w:t>
      </w:r>
    </w:p>
    <w:p w14:paraId="34BD3761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Mês 1 ao 3: Sistema ativo + acompanhamento quinzenal (1 encontro a cada 15 dias — 6</w:t>
      </w:r>
      <w:r>
        <w:rPr>
          <w:rFonts w:hint="default" w:cs="Arial"/>
          <w:color w:val="555555"/>
          <w:sz w:val="22"/>
          <w:szCs w:val="22"/>
          <w:lang w:val="pt-BR"/>
        </w:rPr>
        <w:t xml:space="preserve"> á 8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 sessões no total)</w:t>
      </w:r>
    </w:p>
    <w:p w14:paraId="5E14A475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Mês 4 ao 6: Sistema ativo com suporte mensal e disponibilidade por canais digitais</w:t>
      </w:r>
    </w:p>
    <w:p w14:paraId="69E9404A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4. DAS OBRIGAÇõES DO CONTRATADO</w:t>
      </w:r>
    </w:p>
    <w:p w14:paraId="1CD1AF2A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São obrigações do CONTRATADO:</w:t>
      </w:r>
    </w:p>
    <w:p w14:paraId="0C2DB697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Entregar e manter o sistema Oráculo de Conteúdo ativo e funcional durante todo o período de vigência</w:t>
      </w:r>
    </w:p>
    <w:p w14:paraId="52814D7A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Realizar os encontros de acompanhamento quinzenais (a cada 15 dias) previstos nos 3 primeiros meses, com agenda combinada com antecedência mínima de 48 horas</w:t>
      </w:r>
    </w:p>
    <w:p w14:paraId="0F7A31DD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Auxiliar na definição e curadoria do funil de conteúdo mais adequado à proposta e ao público da marca</w:t>
      </w:r>
    </w:p>
    <w:p w14:paraId="45273226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Comunicar com antecedência qualquer alteração técnica relevante no sistema que possa afetar as publicações</w:t>
      </w:r>
    </w:p>
    <w:p w14:paraId="6266FCFA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Manter sigilo sobre as informações estratégicas do CONTRATANTE</w:t>
      </w:r>
    </w:p>
    <w:p w14:paraId="13691F00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5. DAS OBRIGAÇõES DO CONTRATANTE</w:t>
      </w:r>
    </w:p>
    <w:p w14:paraId="6E71A940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São obrigações do CONTRATANTE:</w:t>
      </w:r>
    </w:p>
    <w:p w14:paraId="516F3645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Efetuar o pagamento conforme acordado na Cláusula 6</w:t>
      </w:r>
    </w:p>
    <w:p w14:paraId="431E3C42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Arcar com os custos de API das plataformas de geração de imagem contratadas por conta própria</w:t>
      </w:r>
      <w:r>
        <w:rPr>
          <w:rFonts w:hint="default" w:cs="Arial"/>
          <w:color w:val="555555"/>
          <w:sz w:val="22"/>
          <w:szCs w:val="22"/>
          <w:lang w:val="pt-BR"/>
        </w:rPr>
        <w:t xml:space="preserve"> </w:t>
      </w:r>
    </w:p>
    <w:p w14:paraId="4D608745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Participar dos encontros de alinhamento com presença e engajamento ativo</w:t>
      </w:r>
    </w:p>
    <w:p w14:paraId="28B8FD2F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Fornecer ao CONTRATADO as informações necessárias sobre a marca (identidade visual, tom de voz, produtos, público-alvo) para calibração do sistema</w:t>
      </w:r>
    </w:p>
    <w:p w14:paraId="307E3720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Conceder os acessos necessários às plataformas de publicação (Instagram, etc.)</w:t>
      </w:r>
    </w:p>
    <w:p w14:paraId="1BF1DAB1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6. DA REMUNERAÇÃO</w:t>
      </w:r>
    </w:p>
    <w:p w14:paraId="4F363067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Pelo conjunto de serviços descritos neste contrato, o CONTRATANTE pagará ao CONTRATADO:</w:t>
      </w:r>
    </w:p>
    <w:p w14:paraId="4659F52B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960"/>
      </w:tblGrid>
      <w:tr w14:paraId="3191C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1A3A6B" w:sz="4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E8EE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659CD">
            <w:r>
              <w:rPr>
                <w:rFonts w:ascii="Arial" w:hAnsi="Arial" w:eastAsia="Arial" w:cs="Arial"/>
                <w:b/>
                <w:bCs/>
                <w:color w:val="1A3A6B"/>
                <w:sz w:val="21"/>
                <w:szCs w:val="21"/>
              </w:rPr>
              <w:t>ITEM</w:t>
            </w:r>
          </w:p>
        </w:tc>
        <w:tc>
          <w:tcPr>
            <w:tcW w:w="5960" w:type="dxa"/>
            <w:tcBorders>
              <w:top w:val="single" w:color="1A3A6B" w:sz="4" w:space="0"/>
              <w:left w:val="single" w:color="CCCCCC" w:sz="0" w:space="0"/>
              <w:bottom w:val="single" w:color="CCCCCC" w:sz="0" w:space="0"/>
              <w:right w:val="nil"/>
            </w:tcBorders>
            <w:shd w:val="clear" w:color="auto" w:fill="E8EE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26214">
            <w:r>
              <w:rPr>
                <w:rFonts w:ascii="Arial" w:hAnsi="Arial" w:eastAsia="Arial" w:cs="Arial"/>
                <w:b/>
                <w:bCs/>
                <w:color w:val="1A3A6B"/>
                <w:sz w:val="21"/>
                <w:szCs w:val="21"/>
              </w:rPr>
              <w:t>VALOR</w:t>
            </w:r>
          </w:p>
        </w:tc>
      </w:tr>
      <w:tr w14:paraId="7E75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E9787B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Valor Total do Contrato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BDC4E"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R$ 4.500,00 (quatro mil e quinhentos reais)</w:t>
            </w:r>
          </w:p>
        </w:tc>
      </w:tr>
      <w:tr w14:paraId="4E514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ABD62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1ª Parcela (Entrada)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120B8"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R$ 1.800,00</w:t>
            </w: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 xml:space="preserve"> — devida na assinatura deste contrato</w:t>
            </w:r>
          </w:p>
        </w:tc>
      </w:tr>
      <w:tr w14:paraId="4D70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28BFB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2ª Parcela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E57372">
            <w:pPr>
              <w:rPr>
                <w:rFonts w:hint="default"/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R$ 2.700,00</w:t>
            </w: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 xml:space="preserve"> — devida em </w:t>
            </w:r>
            <w:r>
              <w:rPr>
                <w:rFonts w:hint="default" w:cs="Arial"/>
                <w:color w:val="555555"/>
                <w:sz w:val="22"/>
                <w:szCs w:val="22"/>
                <w:lang w:val="pt-BR"/>
              </w:rPr>
              <w:t>(Acordado entre as partes)</w:t>
            </w:r>
          </w:p>
        </w:tc>
      </w:tr>
      <w:tr w14:paraId="62DED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32ABA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Custo de API (por conta do Contratante)</w:t>
            </w:r>
          </w:p>
        </w:tc>
        <w:tc>
          <w:tcPr>
            <w:tcW w:w="5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C298D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Pago diretamente pelo Contratante conforme uso — não incluso no valor acima</w:t>
            </w:r>
          </w:p>
        </w:tc>
      </w:tr>
    </w:tbl>
    <w:p w14:paraId="28370684"/>
    <w:p w14:paraId="4B82858E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Todos os valores são acordados livremente entre as partes. Em caso de atraso no pagamento superior a 10 (dez) dias, o CONTRATANTE deverá notificar o CONTRATADO para que as partes alinhem nova data, preservando o espírito colaborativo desta parceria.</w:t>
      </w:r>
    </w:p>
    <w:p w14:paraId="25E65B8C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7. DA RESCISÃO</w:t>
      </w:r>
    </w:p>
    <w:p w14:paraId="38CAB252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Este contrato foi construído sobre uma relação de confiança mútua. Diante disso, a rescisão segue critérios simples:</w:t>
      </w:r>
    </w:p>
    <w:p w14:paraId="2B6249A2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Qualquer das partes poderá encerrar o contrato com aviso prévio de 15 (quinze) dias, por escrito</w:t>
      </w:r>
    </w:p>
    <w:p w14:paraId="2A04787C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Não há multa rescisória para nenhuma das partes</w:t>
      </w:r>
    </w:p>
    <w:p w14:paraId="4412B6BB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Em caso de rescisão, o CONTRATADO garantirá ao CONTRATANTE acesso ao sistema e suporte por todo o período de aviso prévio pago</w:t>
      </w:r>
    </w:p>
    <w:p w14:paraId="09F61654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Valores já pagos e serviços já prestados não são passíveis de reembolso</w:t>
      </w:r>
    </w:p>
    <w:p w14:paraId="19AFBA0B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O objetivo de ambas as partes é que esta relação cresça e se renove. A cláusula de rescisão existe apenas para garantir segurança — não para criar barreiras.</w:t>
      </w:r>
    </w:p>
    <w:p w14:paraId="2435139E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8. DA CONFIDENCIALIDADE</w:t>
      </w:r>
    </w:p>
    <w:p w14:paraId="7EBC0C5B">
      <w:pPr>
        <w:spacing w:before="80" w:after="8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Ambas as partes comprometem-se a manter sigilo sobre todas as informações estratégicas, financeiras e operacionais trocadas no âmbito desta relação. Essa obrigação permanece válida após o término deste contrato pelo prazo de 12 (doze) meses.</w:t>
      </w:r>
    </w:p>
    <w:p w14:paraId="242A3D30">
      <w:pPr>
        <w:spacing w:before="320" w:after="120"/>
      </w:pPr>
      <w:r>
        <w:rPr>
          <w:rFonts w:ascii="Arial" w:hAnsi="Arial" w:eastAsia="Arial" w:cs="Arial"/>
          <w:b/>
          <w:bCs/>
          <w:color w:val="1A3A6B"/>
          <w:sz w:val="24"/>
          <w:szCs w:val="24"/>
        </w:rPr>
        <w:t>9. DISPOSIÇÕES GERAIS</w:t>
      </w:r>
    </w:p>
    <w:p w14:paraId="3A1A7F07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Este contrato não gera vínculo empregatício entre as partes</w:t>
      </w:r>
    </w:p>
    <w:p w14:paraId="32B902F9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Alterações neste contrato só terão validade se formalizadas por escrito e assinadas por ambas as partes</w:t>
      </w:r>
    </w:p>
    <w:p w14:paraId="600AC74A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color w:val="555555"/>
          <w:sz w:val="22"/>
          <w:szCs w:val="22"/>
        </w:rPr>
        <w:t>As partes declaram que leram, compreenderam e concordam integralmente com os termos deste contrato</w:t>
      </w:r>
    </w:p>
    <w:p w14:paraId="518540D3"/>
    <w:p w14:paraId="03F2F568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93"/>
        <w:gridCol w:w="4693"/>
      </w:tblGrid>
      <w:tr w14:paraId="67B5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8EEC735">
            <w:pPr>
              <w:spacing w:before="560" w:after="8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____________________________________________________</w:t>
            </w:r>
          </w:p>
          <w:p w14:paraId="36A7C96C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HAU CACAU SUPERALIMENTOS LTDA</w:t>
            </w:r>
          </w:p>
          <w:p w14:paraId="6517EB6B">
            <w:pPr>
              <w:spacing w:before="0" w:after="4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Bruno José Marques da Silva</w:t>
            </w:r>
          </w:p>
          <w:p w14:paraId="50976EA1">
            <w:pPr>
              <w:spacing w:before="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CPF: 355.806.948-06</w:t>
            </w:r>
          </w:p>
          <w:p w14:paraId="76E9781E">
            <w:pPr>
              <w:spacing w:before="4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CONTRATANTE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7FB6F0F5">
            <w:pPr>
              <w:spacing w:before="560" w:after="8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____________________________________________________</w:t>
            </w:r>
          </w:p>
          <w:p w14:paraId="7F8E6909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555555"/>
                <w:sz w:val="22"/>
                <w:szCs w:val="22"/>
              </w:rPr>
              <w:t>BRUNO JORDÃO RODRIGUES DE OLIVEIRA</w:t>
            </w:r>
          </w:p>
          <w:p w14:paraId="7E69E9BA">
            <w:pPr>
              <w:spacing w:before="0" w:after="4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CNPJ: 43.330.350/4000-19</w:t>
            </w:r>
          </w:p>
          <w:p w14:paraId="57D5460B">
            <w:pPr>
              <w:spacing w:before="40" w:after="0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CONTRATADO / PRESTADOR DE SERVIÇOS</w:t>
            </w:r>
          </w:p>
        </w:tc>
      </w:tr>
    </w:tbl>
    <w:p w14:paraId="69972067"/>
    <w:p w14:paraId="619082B4">
      <w:pPr>
        <w:spacing w:before="200" w:after="0"/>
      </w:pPr>
    </w:p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B54ED">
    <w:pPr>
      <w:pBdr>
        <w:top w:val="single" w:color="CCCCCC" w:sz="2" w:space="4"/>
      </w:pBdr>
      <w:spacing w:before="60"/>
      <w:jc w:val="center"/>
    </w:pPr>
    <w:r>
      <w:rPr>
        <w:rFonts w:ascii="Arial" w:hAnsi="Arial" w:eastAsia="Arial" w:cs="Arial"/>
        <w:color w:val="888888"/>
        <w:sz w:val="17"/>
        <w:szCs w:val="17"/>
      </w:rPr>
      <w:t xml:space="preserve">Hau Cacau Superalimentos Ltda  •  Bruno Jordão Rodrigues de Oliveira  •  Página </w:t>
    </w:r>
    <w:r>
      <w:rPr>
        <w:rFonts w:ascii="Arial" w:hAnsi="Arial" w:eastAsia="Arial" w:cs="Arial"/>
        <w:color w:val="888888"/>
        <w:sz w:val="17"/>
        <w:szCs w:val="17"/>
      </w:rPr>
      <w:fldChar w:fldCharType="begin"/>
    </w:r>
    <w:r>
      <w:rPr>
        <w:rFonts w:ascii="Arial" w:hAnsi="Arial" w:eastAsia="Arial" w:cs="Arial"/>
        <w:color w:val="888888"/>
        <w:sz w:val="17"/>
        <w:szCs w:val="17"/>
      </w:rPr>
      <w:instrText xml:space="preserve">PAGE</w:instrText>
    </w:r>
    <w:r>
      <w:rPr>
        <w:rFonts w:ascii="Arial" w:hAnsi="Arial" w:eastAsia="Arial" w:cs="Arial"/>
        <w:color w:val="888888"/>
        <w:sz w:val="17"/>
        <w:szCs w:val="17"/>
      </w:rPr>
      <w:fldChar w:fldCharType="separate"/>
    </w:r>
    <w:r>
      <w:rPr>
        <w:rFonts w:ascii="Arial" w:hAnsi="Arial" w:eastAsia="Arial" w:cs="Arial"/>
        <w:color w:val="888888"/>
        <w:sz w:val="17"/>
        <w:szCs w:val="17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5790F">
    <w:pPr>
      <w:pBdr>
        <w:bottom w:val="single" w:color="1A3A6B" w:sz="2" w:space="4"/>
      </w:pBdr>
      <w:tabs>
        <w:tab w:val="right" w:pos="8646"/>
      </w:tabs>
      <w:spacing w:after="60"/>
    </w:pPr>
    <w:r>
      <w:rPr>
        <w:rFonts w:ascii="Arial" w:hAnsi="Arial" w:eastAsia="Arial" w:cs="Arial"/>
        <w:b/>
        <w:bCs/>
        <w:color w:val="1A3A6B"/>
        <w:sz w:val="18"/>
        <w:szCs w:val="18"/>
      </w:rPr>
      <w:t>CONTRATO DE PRESTAÇÃO DE SERVIÇOS</w:t>
    </w:r>
    <w:r>
      <w:rPr>
        <w:rFonts w:ascii="Arial" w:hAnsi="Arial" w:eastAsia="Arial" w:cs="Arial"/>
        <w:color w:val="888888"/>
        <w:sz w:val="18"/>
        <w:szCs w:val="18"/>
      </w:rPr>
      <w:tab/>
      <w:t>Oráculo de Conteúdo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9A78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555555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555555"/>
      <w:sz w:val="56"/>
      <w:szCs w:val="56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555555"/>
      <w:sz w:val="20"/>
      <w:szCs w:val="20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555555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color w:val="555555"/>
      <w:sz w:val="22"/>
      <w:szCs w:val="22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7</TotalTime>
  <ScaleCrop>false</ScaleCrop>
  <LinksUpToDate>false</LinksUpToDate>
  <Application>WPS Office_12.2.0.20782_F1E327BC-269C-435d-A152-05C5408002CA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2026-04-15T15:03:00Z</dcterms:created>
  <dc:creator>Un-named</dc:creator>
  <cp:lastModifiedBy>julia</cp:lastModifiedBy>
  <dcterms:modified xsi:type="dcterms:W3CDTF">2026-04-15T15:13:37Z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1046-12.2.0.20782</vt:lpwstr>
  </property>
  <property fmtid="{D5CDD505-2E9C-101B-9397-08002B2CF9AE}" pid="3" name="ICV">
    <vt:lpwstr>C57976733E2F4B8C957D9E283BE52100_12</vt:lpwstr>
  </property>
</Properties>
</file>