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CONTRATO DE PRESTAÇÃO DE SERVIÇOS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Oráculo de Conteúdo — Sistema Inteligente de Conteúdo Digital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Data de celebração: _____ / _____ / 2025</w:t>
      </w:r>
    </w:p>
    <w:p>
      <w:pPr>
        <w:pBdr>
          <w:bottom w:val="single" w:color="1A3A6B" w:sz="3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IDENTIFICAÇÃO DAS PARTES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 partes abaixo identificadas celebram o presente Contrato de Prestação de Serviços, que se regerá pelas cláusulas e condições a seguir estabelecidas: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1A3A6B" w:sz="4"/>
              <w:left w:val="none" w:color="FFFFFF" w:sz="0"/>
              <w:bottom w:val="single" w:color="CCCCCC" w:sz="1"/>
              <w:right w:val="single" w:color="CCCCCC" w:sz="1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CONTRATANTE</w:t>
            </w:r>
          </w:p>
        </w:tc>
        <w:tc>
          <w:tcPr>
            <w:tcW w:type="dxa" w:w="4740"/>
            <w:tcBorders>
              <w:top w:val="single" w:color="1A3A6B" w:sz="4"/>
              <w:left w:val="single" w:color="CCCCCC" w:sz="1"/>
              <w:bottom w:val="single" w:color="CCCCCC" w:sz="1"/>
              <w:right w:val="none" w:color="FFFFFF" w:sz="0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CONTRATADO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HAU CACAU SUPERALIMENTOS LTDA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CNPJ: 54.857.294/0001-73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Rua Cel. Massot, 233, Apto 201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Bairro Tristeza – Porto Alegre/RS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CEP: 91.910-530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Representante: Bruno José Marques da Silva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CPF: 355.806.948-06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BRUNO JORDÃO RODRIGUES DE OLIVEIRA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CNPJ: 43.330.350/4000-19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Rua José Zorzenon, 520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Bairro Ribeirânia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Doravante denominado PRESTADOR DE SERVIÇOS</w:t>
            </w:r>
          </w:p>
        </w:tc>
      </w:tr>
    </w:tbl>
    <w:p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1. DO OBJETO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presente contrato tem por objeto a prestação, pelo CONTRATADO, de serviços de implementação, operação e acompanhamento do sistema denominado “Oráculo de Conteúdo”, voltado à produção e publicação automatizada de conteúdo digital para as redes sociais do CONTRATANTE.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objetivo central desta parceria é eliminar o problema de tração digital, ampliar a visibilidade orgânica da marca HAU CACAU SUPERALIMENTOS e gerar demanda qualificada de forma constante e inteligente, por meio de conteúdos que perfuram o algoritmo e constroem autoridade no mercado.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2. DOS ENTREGÁVEIS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Os serviços contratados compreendem os seguintes entregáveis: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A3A6B" w:sz="4"/>
              <w:left w:val="none" w:color="FFFFFF" w:sz="0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ENTREGÁVEL</w:t>
            </w:r>
          </w:p>
        </w:tc>
        <w:tc>
          <w:tcPr>
            <w:tcW w:type="dxa" w:w="5960"/>
            <w:tcBorders>
              <w:top w:val="single" w:color="1A3A6B" w:sz="4"/>
              <w:left w:val="single" w:color="CCCCCC" w:sz="1"/>
              <w:bottom w:val="single" w:color="CCCCCC" w:sz="1"/>
              <w:right w:val="none" w:color="FFFFFF" w:sz="0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Oráculo de Conteúdo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Acesso ao sistema por 6 (seis) meses completos, com capacidade de geração e publicação diária de conteúdo. O volume de publicações está diretamente relacionado ao custo de API de geração de imagens suportado pelo Contratante — quanto maior o investimento em API, maior a cadencia diária de conteúdo gerado.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Acompanhamento Estratégico (3 meses)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Durante os 3 (três) primeiros meses de vigência, o Prestador realizará 1 (um) encontro semanal com o Contratante, totalizando até 13 sessões. Cada encontro terá duração mínima de 45 minutos, com foco em alinhamento do sistema, análise de métricas e projeções de crescimento.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Curadoria de Funil e Estratégia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 Prestador dedicará atenção à organização das ideias e à definição do funil de conteúdo mais adequado ao posicionamento do Contratante, garantindo que cada publicação gerada esteja alinhada à proposta comercial da marca e orientada para conversão.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Conteúdo de Alta Perfuração de Bolha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Os conteúdos produzidos pelo Oráculo de Conteúdo são estruturados para furar a bolha do algoritmo e atrair novos públicos qualificados de forma orgânica — reduzindo a dependência de tráfego pago e aumentando a visibilidade, a autoridade e as vendas da marca.</w:t>
            </w:r>
          </w:p>
        </w:tc>
      </w:tr>
    </w:tbl>
    <w:p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Observação importante sobre o custo de API: o sistema Oráculo de Conteúdo utiliza APIs externas de geração de imagem (como Midjourney, Leonardo.ai, DALL-E ou similar). Esses custos são de exclusiva responsabilidade do CONTRATANTE, cobrados diretamente pelas plataformas fornecedoras, e não estão incluídos na remuneração do CONTRATADO. O volume diário de conteúdo gerado é diretamente proporcional ao investimento que o CONTRATANTE decidir sustentar nessas plataformas.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 DA VIGÊNCIA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contrato entra em vigor na data de sua assinatura e terá duração de 6 (seis) meses, podendo ser renovado de comum acordo entre as partes mediante simples manifestação por escrito (mensagem, e-mail ou documento) até 15 dias antes do término do prazo vigente.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Mês 1 ao 3: Sistema ativo + acompanhamento semanal (1 encontro por semana)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Mês 4 ao 6: Sistema ativo com suporte mensal e disponibilidade por canais digitais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 DAS OBRIGAÇõES DO CONTRATADO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São obrigações do CONTRATADO: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Entregar e manter o sistema Oráculo de Conteúdo ativo e funcional durante todo o período de vigência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Realizar os encontros de acompanhamento semanais previstos nos 3 primeiros meses, com agenda combinada com antecedência mínima de 48 horas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Auxiliar na definição e curadoria do funil de conteúdo mais adequado à proposta e ao público da marca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Comunicar com antecedência qualquer alteração técnica relevante no sistema que possa afetar as publicações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Manter sigilo sobre as informações estratégicas do CONTRATANTE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 DAS OBRIGAÇõES DO CONTRATANTE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São obrigações do CONTRATANTE: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Efetuar o pagamento conforme acordado na Cláusula 6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Arcar com os custos de API das plataformas de geração de imagem contratadas por conta própria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Participar dos encontros de alinhamento com presença e engajamento ativo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Fornecer ao CONTRATADO as informações necessárias sobre a marca (identidade visual, tom de voz, produtos, público-alvo) para calibração do sistema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Conceder os acessos necessários às plataformas de publicação (Instagram, etc.)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6. DA REMUNERAÇÃO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Pelo conjunto de serviços descritos neste contrato, o CONTRATANTE pagará ao CONTRATADO: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A3A6B" w:sz="4"/>
              <w:left w:val="none" w:color="FFFFFF" w:sz="0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1A3A6B" w:sz="4"/>
              <w:left w:val="single" w:color="CCCCCC" w:sz="1"/>
              <w:bottom w:val="single" w:color="CCCCCC" w:sz="1"/>
              <w:right w:val="none" w:color="FFFFFF" w:sz="0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Valor Total do Contrato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R$ _____________ (_______________________ reais)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Forma de Pagamento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____________________________________________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Custo de API (por conta do Contratante)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Pago diretamente pelo Contratante conforme uso — não incluso no valor acima</w:t>
            </w:r>
          </w:p>
        </w:tc>
      </w:tr>
    </w:tbl>
    <w:p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os valores são acordados livremente entre as partes. Em caso de atraso no pagamento superior a 10 (dez) dias, o CONTRATANTE deverá notificar o CONTRATADO para que as partes alinhem nova data, preservando o espírito colaborativo desta parceria.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7. DA RESCISÃO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contrato foi construído sobre uma relação de confiança mútua. Diante disso, a rescisão segue critérios simples: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Qualquer das partes poderá encerrar o contrato com aviso prévio de 15 (quinze) dias, por escrito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há multa rescisória para nenhuma das partes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 caso de rescisão, o CONTRATADO garantirá ao CONTRATANTE acesso ao sistema e suporte por todo o período de aviso prévio pago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Valores já pagos e serviços já prestados não são passíveis de reembolso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objetivo de ambas as partes é que esta relação cresça e se renove. A cláusula de rescisão existe apenas para garantir segurança — não para criar barreiras.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8. DA CONFIDENCIALIDADE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Ambas as partes comprometem-se a manter sigilo sobre todas as informações estratégicas, financeiras e operacionais trocadas no âmbito desta relação. Essa obrigação permanece válida após o término deste contrato pelo prazo de 12 (doze) meses.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9. DISPOSIÇÕES GERAIS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contrato não gera vínculo empregatício entre as partes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Alterações neste contrato só terão validade se formalizadas por escrito e assinadas por ambas as partes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Fica eleito o foro da comarca de Porto Alegre/RS para dirimir quaisquer dúvidas ou litígios decorrentes deste instrumento, com renúncia expressa a qualquer outro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 partes declaram que leram, compreenderam e concordam integralmente com os termos deste contrato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Porto Alegre/RS, _____ de __________________ de 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980"/>
      </w:tblGrid>
      <w:tr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5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HAU CACAU SUPERALIMENTOS LTDA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Bruno José Marques da Silva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CPF: 355.806.948-06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CONTRATANTE</w:t>
            </w:r>
          </w:p>
        </w:tc>
        <w:tc>
          <w:tcPr>
            <w:tcW w:type="dxa" w:w="4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80" w:before="5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BRUNO JORDÃO RODRIGUES DE OLIVEIRA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CNPJ: 43.330.350/4000-19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CONTRATADO / PRESTADOR DE SERVIÇOS</w:t>
            </w:r>
          </w:p>
        </w:tc>
      </w:tr>
    </w:tbl>
    <w:p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TESTEMUNHAS: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980"/>
      </w:tblGrid>
      <w:tr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40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Nome: _______________________________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CPF: ________________________________</w:t>
            </w:r>
          </w:p>
        </w:tc>
        <w:tc>
          <w:tcPr>
            <w:tcW w:type="dxa" w:w="4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80" w:before="40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Nome: _______________________________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CPF: ________________________________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6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Hau Cacau Superalimentos Ltda  •  Bruno Jordão Rodrigues de Oliveira  •  Página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3" w:space="4"/>
      </w:pBdr>
      <w:tabs>
        <w:tab w:val="right" w:pos="8646"/>
      </w:tabs>
      <w:spacing w:after="60"/>
    </w:pPr>
    <w:r>
      <w:rPr>
        <w:rFonts w:ascii="Arial" w:cs="Arial" w:eastAsia="Arial" w:hAnsi="Arial"/>
        <w:b/>
        <w:bCs/>
        <w:color w:val="1A3A6B"/>
        <w:sz w:val="18"/>
        <w:szCs w:val="18"/>
      </w:rPr>
      <w:t xml:space="preserve">CONTRATO DE PRESTAÇÃO DE SERVIÇOS</w:t>
    </w:r>
    <w:r>
      <w:rPr>
        <w:rFonts w:ascii="Arial" w:cs="Arial" w:eastAsia="Arial" w:hAnsi="Arial"/>
        <w:color w:val="888888"/>
        <w:sz w:val="18"/>
        <w:szCs w:val="18"/>
      </w:rPr>
      <w:t xml:space="preserve">	Oráculo de Conteúdo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2026-04-15T13:59:57.394Z</dcterms:created>
  <dcterms:modified xsi:type="dcterms:W3CDTF">2026-04-15T13:59:57.405Z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