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1BFF1" w14:textId="77777777" w:rsidR="009B2E55" w:rsidRDefault="00AB70EB">
      <w:pPr>
        <w:pBdr>
          <w:top w:val="nil"/>
          <w:left w:val="nil"/>
          <w:bottom w:val="nil"/>
          <w:right w:val="nil"/>
          <w:between w:val="nil"/>
        </w:pBdr>
        <w:jc w:val="center"/>
        <w:rPr>
          <w:b/>
          <w:color w:val="000000"/>
          <w:sz w:val="32"/>
          <w:szCs w:val="32"/>
        </w:rPr>
      </w:pPr>
      <w:r>
        <w:rPr>
          <w:b/>
          <w:sz w:val="32"/>
          <w:szCs w:val="32"/>
        </w:rPr>
        <w:t>Analisis Perbandingan Pembangunan Manusia dengan Indikator IPM dan Rasio Gini Menggunakan Analisis Varians Multivariat (MANOVA)</w:t>
      </w:r>
    </w:p>
    <w:p w14:paraId="3B2D438A" w14:textId="77777777" w:rsidR="009B2E55" w:rsidRDefault="00AB70EB">
      <w:pPr>
        <w:pBdr>
          <w:top w:val="nil"/>
          <w:left w:val="nil"/>
          <w:bottom w:val="nil"/>
          <w:right w:val="nil"/>
          <w:between w:val="nil"/>
        </w:pBdr>
        <w:spacing w:after="240"/>
        <w:jc w:val="center"/>
        <w:rPr>
          <w:color w:val="000000"/>
          <w:sz w:val="28"/>
          <w:szCs w:val="28"/>
        </w:rPr>
      </w:pPr>
      <w:r>
        <w:rPr>
          <w:sz w:val="28"/>
          <w:szCs w:val="28"/>
        </w:rPr>
        <w:t>Studi Kasus : Provinsi Jawa Barat, D. I. Yogyakarta, dan Jawa Timur</w:t>
      </w:r>
    </w:p>
    <w:p w14:paraId="5284C772" w14:textId="77777777" w:rsidR="009B2E55" w:rsidRDefault="00AB70EB">
      <w:pPr>
        <w:pBdr>
          <w:top w:val="nil"/>
          <w:left w:val="nil"/>
          <w:bottom w:val="nil"/>
          <w:right w:val="nil"/>
          <w:between w:val="nil"/>
        </w:pBdr>
        <w:spacing w:after="240"/>
        <w:jc w:val="center"/>
        <w:rPr>
          <w:i/>
        </w:rPr>
      </w:pPr>
      <w:r>
        <w:rPr>
          <w:i/>
        </w:rPr>
        <w:t>The Comparative Analysis of Human Development by HDI and Gini Ratio Indicators Uses Multivariate Analysis of Variance (MANOVA)</w:t>
      </w:r>
    </w:p>
    <w:p w14:paraId="4AE43C33" w14:textId="77777777" w:rsidR="009B2E55" w:rsidRDefault="00AB70EB">
      <w:pPr>
        <w:pBdr>
          <w:top w:val="nil"/>
          <w:left w:val="nil"/>
          <w:bottom w:val="nil"/>
          <w:right w:val="nil"/>
          <w:between w:val="nil"/>
        </w:pBdr>
        <w:spacing w:after="240"/>
        <w:jc w:val="center"/>
        <w:rPr>
          <w:i/>
          <w:sz w:val="20"/>
          <w:szCs w:val="20"/>
        </w:rPr>
      </w:pPr>
      <w:r>
        <w:rPr>
          <w:b/>
          <w:i/>
          <w:sz w:val="20"/>
          <w:szCs w:val="20"/>
        </w:rPr>
        <w:t>Politeknik Statistika STIS T.A. 2021/2022</w:t>
      </w:r>
      <w:r>
        <w:rPr>
          <w:b/>
          <w:i/>
          <w:sz w:val="20"/>
          <w:szCs w:val="20"/>
        </w:rPr>
        <w:br/>
      </w:r>
      <w:r>
        <w:rPr>
          <w:i/>
          <w:sz w:val="20"/>
          <w:szCs w:val="20"/>
        </w:rPr>
        <w:t>Habibullah Hibatul Wafi (221910761),</w:t>
      </w:r>
      <w:r>
        <w:rPr>
          <w:i/>
          <w:sz w:val="20"/>
          <w:szCs w:val="20"/>
        </w:rPr>
        <w:br/>
        <w:t>Haryuningtyas Ramadhani Putri (221910826),</w:t>
      </w:r>
      <w:r>
        <w:rPr>
          <w:i/>
          <w:sz w:val="20"/>
          <w:szCs w:val="20"/>
        </w:rPr>
        <w:br/>
        <w:t>Muhamad Arya Fitra (221910858),</w:t>
      </w:r>
      <w:r>
        <w:rPr>
          <w:i/>
          <w:sz w:val="20"/>
          <w:szCs w:val="20"/>
        </w:rPr>
        <w:br/>
        <w:t>Muhammad Arya Septa Kovitra (221910940).</w:t>
      </w:r>
    </w:p>
    <w:p w14:paraId="30E65DED" w14:textId="77777777" w:rsidR="009B2E55" w:rsidRDefault="00AB70EB">
      <w:pPr>
        <w:pBdr>
          <w:top w:val="nil"/>
          <w:left w:val="nil"/>
          <w:bottom w:val="nil"/>
          <w:right w:val="nil"/>
          <w:between w:val="nil"/>
        </w:pBdr>
        <w:spacing w:after="240"/>
        <w:jc w:val="center"/>
        <w:rPr>
          <w:b/>
          <w:color w:val="000000"/>
        </w:rPr>
      </w:pPr>
      <w:r>
        <w:rPr>
          <w:b/>
          <w:color w:val="000000"/>
        </w:rPr>
        <w:t>ABSTRAK</w:t>
      </w:r>
    </w:p>
    <w:p w14:paraId="10AE0812" w14:textId="77777777" w:rsidR="009B2E55" w:rsidRDefault="00AB70EB">
      <w:pPr>
        <w:pBdr>
          <w:top w:val="nil"/>
          <w:left w:val="nil"/>
          <w:bottom w:val="nil"/>
          <w:right w:val="nil"/>
          <w:between w:val="nil"/>
        </w:pBdr>
        <w:spacing w:after="120"/>
        <w:jc w:val="both"/>
        <w:rPr>
          <w:b/>
          <w:color w:val="000000"/>
          <w:sz w:val="20"/>
          <w:szCs w:val="20"/>
        </w:rPr>
      </w:pPr>
      <w:r>
        <w:rPr>
          <w:sz w:val="20"/>
          <w:szCs w:val="20"/>
        </w:rPr>
        <w:t xml:space="preserve">Pencapaian pembangunan pemerintah ditinjau dari beberapa indikator, yang paling signifikan di antaranya yaitu Indeks Pembangunan Manusia (IPM) dan rasio gini. Kajian akan mengambil lokus penelitian bertempat di Provinsi Jawa Barat, Daerah Istimewa Yogyakarta, dan Jawa Timur. Metode pengujian yang digunakan merupakan pengujian One-Way MANOVA, yang merupakan uji statistik untuk mengukur pengaruh variabel independen berskala kategorik terhadap beberapa variabel dependen sekaligus yang berskala data kuantitatif. Hasil analisisnya menyatakan bahwa dengan tingkat signifikansi alpha 5% maka terdapat cukup bukti untuk menolak </w:t>
      </w:r>
      <m:oMath>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0</m:t>
            </m:r>
          </m:sub>
        </m:sSub>
      </m:oMath>
      <w:r>
        <w:rPr>
          <w:sz w:val="20"/>
          <w:szCs w:val="20"/>
        </w:rPr>
        <w:t>, yang berarti minimal ada satu rata-rata populasi yang berbeda signifikan terhadap populasi lainnya.</w:t>
      </w:r>
      <w:r>
        <w:rPr>
          <w:color w:val="000000"/>
          <w:sz w:val="20"/>
          <w:szCs w:val="20"/>
        </w:rPr>
        <w:t xml:space="preserve"> </w:t>
      </w:r>
    </w:p>
    <w:p w14:paraId="7F784C23" w14:textId="77777777" w:rsidR="009B2E55" w:rsidRDefault="00AB70EB">
      <w:pPr>
        <w:pBdr>
          <w:top w:val="nil"/>
          <w:left w:val="nil"/>
          <w:bottom w:val="nil"/>
          <w:right w:val="nil"/>
          <w:between w:val="nil"/>
        </w:pBdr>
        <w:spacing w:after="120"/>
        <w:jc w:val="both"/>
        <w:rPr>
          <w:color w:val="000000"/>
          <w:sz w:val="20"/>
          <w:szCs w:val="20"/>
        </w:rPr>
        <w:sectPr w:rsidR="009B2E55">
          <w:headerReference w:type="even" r:id="rId9"/>
          <w:headerReference w:type="default" r:id="rId10"/>
          <w:footerReference w:type="even" r:id="rId11"/>
          <w:footerReference w:type="default" r:id="rId12"/>
          <w:headerReference w:type="first" r:id="rId13"/>
          <w:footerReference w:type="first" r:id="rId14"/>
          <w:pgSz w:w="11907" w:h="16839"/>
          <w:pgMar w:top="1138" w:right="850" w:bottom="1138" w:left="1138" w:header="562" w:footer="562" w:gutter="0"/>
          <w:pgNumType w:start="1"/>
          <w:cols w:space="720"/>
        </w:sectPr>
      </w:pPr>
      <w:r>
        <w:rPr>
          <w:b/>
          <w:color w:val="000000"/>
          <w:sz w:val="20"/>
          <w:szCs w:val="20"/>
        </w:rPr>
        <w:t>Kata kunci</w:t>
      </w:r>
      <w:r>
        <w:rPr>
          <w:color w:val="000000"/>
          <w:sz w:val="20"/>
          <w:szCs w:val="20"/>
        </w:rPr>
        <w:t xml:space="preserve">: </w:t>
      </w:r>
      <w:r>
        <w:rPr>
          <w:sz w:val="20"/>
          <w:szCs w:val="20"/>
        </w:rPr>
        <w:t>IPM, Rasio Gini, MANOVA, rata-rata populasi</w:t>
      </w:r>
    </w:p>
    <w:p w14:paraId="450DE45C" w14:textId="77777777" w:rsidR="009B2E55" w:rsidRDefault="00AB70EB">
      <w:pPr>
        <w:pBdr>
          <w:top w:val="nil"/>
          <w:left w:val="nil"/>
          <w:bottom w:val="nil"/>
          <w:right w:val="nil"/>
          <w:between w:val="nil"/>
        </w:pBdr>
        <w:spacing w:before="240" w:after="240"/>
        <w:jc w:val="center"/>
        <w:rPr>
          <w:b/>
          <w:i/>
          <w:color w:val="000000"/>
        </w:rPr>
      </w:pPr>
      <w:r>
        <w:rPr>
          <w:b/>
          <w:i/>
          <w:color w:val="000000"/>
        </w:rPr>
        <w:t>ABSTRACT</w:t>
      </w:r>
    </w:p>
    <w:p w14:paraId="40FE6AD3" w14:textId="77777777" w:rsidR="009B2E55" w:rsidRDefault="00AB70EB">
      <w:pPr>
        <w:pBdr>
          <w:top w:val="nil"/>
          <w:left w:val="nil"/>
          <w:bottom w:val="nil"/>
          <w:right w:val="nil"/>
          <w:between w:val="nil"/>
        </w:pBdr>
        <w:spacing w:after="200"/>
        <w:jc w:val="both"/>
        <w:rPr>
          <w:i/>
          <w:color w:val="000000"/>
          <w:sz w:val="18"/>
          <w:szCs w:val="18"/>
        </w:rPr>
      </w:pPr>
      <w:r>
        <w:rPr>
          <w:i/>
          <w:sz w:val="20"/>
          <w:szCs w:val="20"/>
        </w:rPr>
        <w:t xml:space="preserve">The government's development program achievements are reviewed by some of the indicators, the most significant of which is the Human Development Index (IPM) and the gini ratio. The research will take place in West Java, Special Territory of Yogyakarta, and East Java. The method of testing used is categorically different manova, which is a statistical test for measuring the impact of independent variables of a categorical scale on some codependent variables simultaneously of quantitative data. Its analysis results that with an alpha 5% degree of significance there is enough evidence to reject </w:t>
      </w: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Pr>
          <w:i/>
          <w:sz w:val="20"/>
          <w:szCs w:val="20"/>
        </w:rPr>
        <w:t>, which means at least there is one distinct population means significant to the other.</w:t>
      </w:r>
      <w:r>
        <w:rPr>
          <w:i/>
          <w:color w:val="000000"/>
          <w:sz w:val="20"/>
          <w:szCs w:val="20"/>
        </w:rPr>
        <w:t xml:space="preserve">. </w:t>
      </w:r>
    </w:p>
    <w:p w14:paraId="7B54EC7A" w14:textId="77777777" w:rsidR="009B2E55" w:rsidRDefault="00AB70EB">
      <w:pPr>
        <w:pBdr>
          <w:top w:val="nil"/>
          <w:left w:val="nil"/>
          <w:bottom w:val="nil"/>
          <w:right w:val="nil"/>
          <w:between w:val="nil"/>
        </w:pBdr>
        <w:spacing w:after="200"/>
        <w:jc w:val="both"/>
        <w:rPr>
          <w:i/>
          <w:color w:val="000000"/>
          <w:sz w:val="20"/>
          <w:szCs w:val="20"/>
        </w:rPr>
      </w:pPr>
      <w:r>
        <w:rPr>
          <w:b/>
          <w:i/>
          <w:color w:val="000000"/>
          <w:sz w:val="20"/>
          <w:szCs w:val="20"/>
        </w:rPr>
        <w:t>Keywords</w:t>
      </w:r>
      <w:r>
        <w:rPr>
          <w:i/>
          <w:color w:val="000000"/>
          <w:sz w:val="20"/>
          <w:szCs w:val="20"/>
        </w:rPr>
        <w:t xml:space="preserve">: </w:t>
      </w:r>
      <w:r>
        <w:rPr>
          <w:i/>
          <w:sz w:val="20"/>
          <w:szCs w:val="20"/>
        </w:rPr>
        <w:t>HDI, The Gini Ratio, MANOVA, population means</w:t>
      </w:r>
    </w:p>
    <w:p w14:paraId="0400FDA2" w14:textId="77777777" w:rsidR="009B2E55" w:rsidRDefault="00AB70EB">
      <w:pPr>
        <w:keepNext/>
        <w:pBdr>
          <w:top w:val="nil"/>
          <w:left w:val="nil"/>
          <w:bottom w:val="nil"/>
          <w:right w:val="nil"/>
          <w:between w:val="nil"/>
        </w:pBdr>
        <w:spacing w:before="480" w:after="240"/>
        <w:jc w:val="both"/>
        <w:rPr>
          <w:b/>
          <w:i/>
          <w:color w:val="000000"/>
        </w:rPr>
      </w:pPr>
      <w:r>
        <w:rPr>
          <w:b/>
          <w:color w:val="000000"/>
        </w:rPr>
        <w:t>PENDAHULUAN</w:t>
      </w:r>
    </w:p>
    <w:p w14:paraId="350EE653" w14:textId="77777777" w:rsidR="009B2E55" w:rsidRDefault="00AB70EB">
      <w:pPr>
        <w:pBdr>
          <w:top w:val="nil"/>
          <w:left w:val="nil"/>
          <w:bottom w:val="nil"/>
          <w:right w:val="nil"/>
          <w:between w:val="nil"/>
        </w:pBdr>
        <w:ind w:firstLine="450"/>
        <w:jc w:val="both"/>
      </w:pPr>
      <w:r>
        <w:rPr>
          <w:color w:val="000000"/>
        </w:rPr>
        <w:t>Pencapaian pembangunan yang diselenggarakan oleh</w:t>
      </w:r>
      <w:r>
        <w:t xml:space="preserve"> </w:t>
      </w:r>
      <w:r>
        <w:rPr>
          <w:color w:val="000000"/>
        </w:rPr>
        <w:t>pemerintah untuk masyarakat akan selalu berkaitan erat dengan pertumbuhan ekonomi. Namun menurut beberapa pendapat ahli, jika ditinjau dari sisi masyarakat, bukan suatu kepastian bahwa pertumbuhan ekonomi berbanding lurus dengan kesejahteraan rakyatnya. Dalam hal ini, pengukuran perkembangan kemakmuran serta kesejahteraan penduduk dihitung dengan indikator krusial lainnya, yakni Indeks Pembangunan Masyarakat dan Rasio Gini. Indeks Pembangunan Manusia atau IPM mendeskripsikan tentang bagaimana penduduk bisa memiliki akses terhadap hasil pembangunan dalam memperoleh pendapatan, kesehatan, pendidikan, dan sebagainya. Perhitungan IPM diperoleh dari rata-rata geometrik perolehan indeks Kesehatan, pendidikan, dan pengeluaran. Sedangkan rasio gini adalah sebuah pengukuran untuk memperoleh distribusi kekayaan pada suatu daerah. Rasio gini dapat memberikan pandangan mengenai kualitas manusia dari berbagai daerah.</w:t>
      </w:r>
    </w:p>
    <w:p w14:paraId="17A6DA04" w14:textId="77777777" w:rsidR="009B2E55" w:rsidRDefault="00AB70EB">
      <w:pPr>
        <w:pBdr>
          <w:top w:val="nil"/>
          <w:left w:val="nil"/>
          <w:bottom w:val="nil"/>
          <w:right w:val="nil"/>
          <w:between w:val="nil"/>
        </w:pBdr>
        <w:ind w:firstLine="432"/>
        <w:jc w:val="both"/>
      </w:pPr>
      <w:r>
        <w:rPr>
          <w:color w:val="000000"/>
        </w:rPr>
        <w:t>Kajian yang akan dibahas di bawah ini akan mengambil lokus penelitian bertempat di tiga provinsi, yaitu Jawa Barat, Daerah Istimewa Yogyakarta, dan Jawa Timur. Ketiga provinsi tersebut secara geografis terletak beriringan, serta berada pada satu tanah yang sama. Demikian gagasan peneliti akhirnya tertarik untuk menganalisa perbedaan kualitas penduduk dan kekayaan pada tiga provinsi yang disebutkan, sesuai dasar indikator IPM dan rasio gini.</w:t>
      </w:r>
    </w:p>
    <w:p w14:paraId="77069973" w14:textId="77777777" w:rsidR="009B2E55" w:rsidRDefault="00AB70EB">
      <w:pPr>
        <w:keepNext/>
        <w:pBdr>
          <w:top w:val="nil"/>
          <w:left w:val="nil"/>
          <w:bottom w:val="nil"/>
          <w:right w:val="nil"/>
          <w:between w:val="nil"/>
        </w:pBdr>
        <w:spacing w:before="480" w:after="240"/>
        <w:jc w:val="both"/>
        <w:rPr>
          <w:b/>
          <w:i/>
          <w:color w:val="000000"/>
        </w:rPr>
      </w:pPr>
      <w:r>
        <w:rPr>
          <w:b/>
          <w:color w:val="000000"/>
        </w:rPr>
        <w:lastRenderedPageBreak/>
        <w:t xml:space="preserve">METODE  </w:t>
      </w:r>
    </w:p>
    <w:p w14:paraId="5339D45A" w14:textId="77777777" w:rsidR="009B2E55" w:rsidRDefault="00AB70EB">
      <w:pPr>
        <w:ind w:firstLine="432"/>
        <w:jc w:val="both"/>
        <w:rPr>
          <w:sz w:val="22"/>
          <w:szCs w:val="22"/>
        </w:rPr>
      </w:pPr>
      <w:r>
        <w:rPr>
          <w:sz w:val="22"/>
          <w:szCs w:val="22"/>
        </w:rPr>
        <w:t>Dalam analisis ini, metode pengujian yang digunakan merupakan pengujian One-Way MANOVA. MANOVA merupakan uji statistik yang digunakan untuk mengukur pengaruh variabel independen yang berskala kategorik terhadap beberapa variabel dependen sekaligus yang berskala data kuantitatif. Analisis ini disebut juga dengan istilah multivariat anova.</w:t>
      </w:r>
    </w:p>
    <w:p w14:paraId="6C945909" w14:textId="77777777" w:rsidR="009B2E55" w:rsidRDefault="00AB70EB">
      <w:pPr>
        <w:ind w:firstLine="432"/>
        <w:jc w:val="both"/>
        <w:rPr>
          <w:sz w:val="22"/>
          <w:szCs w:val="22"/>
        </w:rPr>
      </w:pPr>
      <w:r>
        <w:rPr>
          <w:sz w:val="22"/>
          <w:szCs w:val="22"/>
        </w:rPr>
        <w:t>MANOVA digunakan pertama kali untuk menyelidiki apakah vektor rataan beberapa populasi sama atau berbeda. Jika berbeda dapat mengetahui komponen rataan mana yang berbeda secara signifikan. Terdapat beberapa asumsi dalam MANOVA, yaitu</w:t>
      </w:r>
    </w:p>
    <w:p w14:paraId="12288E08" w14:textId="77777777" w:rsidR="009B2E55" w:rsidRDefault="00AB70EB">
      <w:pPr>
        <w:numPr>
          <w:ilvl w:val="0"/>
          <w:numId w:val="2"/>
        </w:numPr>
        <w:jc w:val="both"/>
        <w:rPr>
          <w:sz w:val="22"/>
          <w:szCs w:val="22"/>
        </w:rPr>
      </w:pPr>
      <w:r>
        <w:rPr>
          <w:sz w:val="22"/>
          <w:szCs w:val="22"/>
        </w:rPr>
        <w:t>X</w:t>
      </w:r>
      <w:r>
        <w:rPr>
          <w:sz w:val="22"/>
          <w:szCs w:val="22"/>
          <w:vertAlign w:val="subscript"/>
        </w:rPr>
        <w:t>i1</w:t>
      </w:r>
      <w:r>
        <w:rPr>
          <w:sz w:val="22"/>
          <w:szCs w:val="22"/>
        </w:rPr>
        <w:t>, X</w:t>
      </w:r>
      <w:r>
        <w:rPr>
          <w:sz w:val="22"/>
          <w:szCs w:val="22"/>
          <w:vertAlign w:val="subscript"/>
        </w:rPr>
        <w:t>i2</w:t>
      </w:r>
      <w:r>
        <w:rPr>
          <w:sz w:val="22"/>
          <w:szCs w:val="22"/>
        </w:rPr>
        <w:t>, …, X</w:t>
      </w:r>
      <w:r>
        <w:rPr>
          <w:sz w:val="22"/>
          <w:szCs w:val="22"/>
          <w:vertAlign w:val="subscript"/>
        </w:rPr>
        <w:t>in</w:t>
      </w:r>
      <w:r>
        <w:rPr>
          <w:sz w:val="22"/>
          <w:szCs w:val="22"/>
        </w:rPr>
        <w:t xml:space="preserve"> adalah </w:t>
      </w:r>
      <w:r>
        <w:rPr>
          <w:i/>
          <w:sz w:val="22"/>
          <w:szCs w:val="22"/>
        </w:rPr>
        <w:t>random sample</w:t>
      </w:r>
      <w:r>
        <w:rPr>
          <w:sz w:val="22"/>
          <w:szCs w:val="22"/>
        </w:rPr>
        <w:t xml:space="preserve"> dari populasi dengan rataan </w:t>
      </w:r>
      <w:r>
        <w:rPr>
          <w:b/>
          <w:sz w:val="22"/>
          <w:szCs w:val="22"/>
          <w:highlight w:val="white"/>
        </w:rPr>
        <w:t>μ</w:t>
      </w:r>
      <w:r>
        <w:rPr>
          <w:b/>
          <w:sz w:val="22"/>
          <w:szCs w:val="22"/>
          <w:highlight w:val="white"/>
          <w:vertAlign w:val="subscript"/>
        </w:rPr>
        <w:t>i</w:t>
      </w:r>
      <w:r>
        <w:rPr>
          <w:sz w:val="22"/>
          <w:szCs w:val="22"/>
          <w:highlight w:val="white"/>
        </w:rPr>
        <w:t xml:space="preserve"> dan </w:t>
      </w:r>
      <w:r>
        <w:rPr>
          <w:i/>
          <w:sz w:val="22"/>
          <w:szCs w:val="22"/>
          <w:highlight w:val="white"/>
        </w:rPr>
        <w:t>common covariance matrix</w:t>
      </w:r>
      <w:r>
        <w:rPr>
          <w:sz w:val="22"/>
          <w:szCs w:val="22"/>
          <w:highlight w:val="white"/>
        </w:rPr>
        <w:t xml:space="preserve"> </w:t>
      </w:r>
      <w:r>
        <w:rPr>
          <w:b/>
          <w:sz w:val="22"/>
          <w:szCs w:val="22"/>
          <w:highlight w:val="white"/>
        </w:rPr>
        <w:t>Σ</w:t>
      </w:r>
    </w:p>
    <w:p w14:paraId="38DD81C7" w14:textId="77777777" w:rsidR="009B2E55" w:rsidRDefault="00AB70EB">
      <w:pPr>
        <w:numPr>
          <w:ilvl w:val="0"/>
          <w:numId w:val="2"/>
        </w:numPr>
        <w:jc w:val="both"/>
        <w:rPr>
          <w:sz w:val="22"/>
          <w:szCs w:val="22"/>
        </w:rPr>
      </w:pPr>
      <w:r>
        <w:rPr>
          <w:i/>
          <w:sz w:val="22"/>
          <w:szCs w:val="22"/>
        </w:rPr>
        <w:t>Random sample</w:t>
      </w:r>
      <w:r>
        <w:rPr>
          <w:sz w:val="22"/>
          <w:szCs w:val="22"/>
        </w:rPr>
        <w:t xml:space="preserve"> berasal dari populasi berbeda yang independen</w:t>
      </w:r>
    </w:p>
    <w:p w14:paraId="24C883F7" w14:textId="77777777" w:rsidR="009B2E55" w:rsidRDefault="00AB70EB">
      <w:pPr>
        <w:numPr>
          <w:ilvl w:val="0"/>
          <w:numId w:val="2"/>
        </w:numPr>
        <w:jc w:val="both"/>
        <w:rPr>
          <w:sz w:val="22"/>
          <w:szCs w:val="22"/>
        </w:rPr>
      </w:pPr>
      <w:r>
        <w:rPr>
          <w:i/>
          <w:sz w:val="22"/>
          <w:szCs w:val="22"/>
        </w:rPr>
        <w:t>X</w:t>
      </w:r>
      <w:r>
        <w:rPr>
          <w:i/>
          <w:sz w:val="22"/>
          <w:szCs w:val="22"/>
          <w:vertAlign w:val="subscript"/>
        </w:rPr>
        <w:t>ij</w:t>
      </w:r>
      <w:r>
        <w:rPr>
          <w:sz w:val="22"/>
          <w:szCs w:val="22"/>
        </w:rPr>
        <w:t xml:space="preserve"> ~ </w:t>
      </w:r>
      <w:r>
        <w:rPr>
          <w:i/>
          <w:sz w:val="22"/>
          <w:szCs w:val="22"/>
        </w:rPr>
        <w:t>N</w:t>
      </w:r>
      <w:r>
        <w:rPr>
          <w:i/>
          <w:sz w:val="22"/>
          <w:szCs w:val="22"/>
          <w:vertAlign w:val="subscript"/>
        </w:rPr>
        <w:t>p</w:t>
      </w:r>
      <w:r>
        <w:rPr>
          <w:sz w:val="22"/>
          <w:szCs w:val="22"/>
        </w:rPr>
        <w:t xml:space="preserve"> (</w:t>
      </w:r>
      <w:r>
        <w:rPr>
          <w:b/>
          <w:i/>
          <w:sz w:val="22"/>
          <w:szCs w:val="22"/>
          <w:highlight w:val="white"/>
        </w:rPr>
        <w:t>μ</w:t>
      </w:r>
      <w:r>
        <w:rPr>
          <w:b/>
          <w:i/>
          <w:sz w:val="22"/>
          <w:szCs w:val="22"/>
          <w:highlight w:val="white"/>
          <w:vertAlign w:val="subscript"/>
        </w:rPr>
        <w:t>i</w:t>
      </w:r>
      <w:r>
        <w:rPr>
          <w:sz w:val="22"/>
          <w:szCs w:val="22"/>
          <w:highlight w:val="white"/>
        </w:rPr>
        <w:t xml:space="preserve"> , </w:t>
      </w:r>
      <w:r>
        <w:rPr>
          <w:b/>
          <w:i/>
          <w:sz w:val="22"/>
          <w:szCs w:val="22"/>
          <w:highlight w:val="white"/>
        </w:rPr>
        <w:t>Σ</w:t>
      </w:r>
      <w:r>
        <w:rPr>
          <w:sz w:val="22"/>
          <w:szCs w:val="22"/>
          <w:highlight w:val="white"/>
        </w:rPr>
        <w:t>), i = 1,2, …,g, j = 1,2, …,n</w:t>
      </w:r>
      <w:r>
        <w:rPr>
          <w:sz w:val="22"/>
          <w:szCs w:val="22"/>
          <w:highlight w:val="white"/>
          <w:vertAlign w:val="subscript"/>
        </w:rPr>
        <w:t>i</w:t>
      </w:r>
    </w:p>
    <w:p w14:paraId="3B7B57F3" w14:textId="77777777" w:rsidR="009B2E55" w:rsidRDefault="00AB70EB">
      <w:pPr>
        <w:ind w:firstLine="432"/>
        <w:jc w:val="both"/>
        <w:rPr>
          <w:sz w:val="22"/>
          <w:szCs w:val="22"/>
        </w:rPr>
      </w:pPr>
      <w:r>
        <w:rPr>
          <w:sz w:val="22"/>
          <w:szCs w:val="22"/>
        </w:rPr>
        <w:t>Pengujian One-Way MANOVA dilakukan pada tiga populasi atau lebih untuk membuktikan hipotesis yaitu 𝐻0: 𝝉</w:t>
      </w:r>
      <w:r>
        <w:rPr>
          <w:sz w:val="22"/>
          <w:szCs w:val="22"/>
          <w:vertAlign w:val="subscript"/>
        </w:rPr>
        <w:t>1</w:t>
      </w:r>
      <w:r>
        <w:rPr>
          <w:sz w:val="22"/>
          <w:szCs w:val="22"/>
        </w:rPr>
        <w:t xml:space="preserve"> = 𝝉</w:t>
      </w:r>
      <w:r>
        <w:rPr>
          <w:sz w:val="22"/>
          <w:szCs w:val="22"/>
          <w:vertAlign w:val="subscript"/>
        </w:rPr>
        <w:t>2</w:t>
      </w:r>
      <w:r>
        <w:rPr>
          <w:sz w:val="22"/>
          <w:szCs w:val="22"/>
        </w:rPr>
        <w:t xml:space="preserve"> = </w:t>
      </w:r>
      <w:sdt>
        <w:sdtPr>
          <w:tag w:val="goog_rdk_0"/>
          <w:id w:val="307134369"/>
        </w:sdtPr>
        <w:sdtEndPr/>
        <w:sdtContent>
          <w:r>
            <w:rPr>
              <w:rFonts w:ascii="Gungsuh" w:eastAsia="Gungsuh" w:hAnsi="Gungsuh" w:cs="Gungsuh"/>
              <w:sz w:val="22"/>
              <w:szCs w:val="22"/>
            </w:rPr>
            <w:t>⋯</w:t>
          </w:r>
        </w:sdtContent>
      </w:sdt>
      <w:r>
        <w:rPr>
          <w:sz w:val="22"/>
          <w:szCs w:val="22"/>
        </w:rPr>
        <w:t xml:space="preserve"> = 𝝉</w:t>
      </w:r>
      <w:r>
        <w:rPr>
          <w:sz w:val="22"/>
          <w:szCs w:val="22"/>
          <w:vertAlign w:val="subscript"/>
        </w:rPr>
        <w:t>g</w:t>
      </w:r>
      <w:r>
        <w:rPr>
          <w:sz w:val="22"/>
          <w:szCs w:val="22"/>
        </w:rPr>
        <w:t xml:space="preserve"> = 0 yang artinya tidak terdapat </w:t>
      </w:r>
      <w:r>
        <w:rPr>
          <w:i/>
          <w:sz w:val="22"/>
          <w:szCs w:val="22"/>
        </w:rPr>
        <w:t>treatment effect</w:t>
      </w:r>
      <w:r>
        <w:rPr>
          <w:sz w:val="22"/>
          <w:szCs w:val="22"/>
        </w:rPr>
        <w:t xml:space="preserve"> atau perbedaan rataan antar kelompok. Untuk melakukan evaluasi dan pengujian, perlu dilakukan beberapa perhitungan seperti pada gambar tabel MANOVA dibawah ini</w:t>
      </w:r>
    </w:p>
    <w:p w14:paraId="05E9C81E" w14:textId="77777777" w:rsidR="009B2E55" w:rsidRDefault="009B2E55">
      <w:pPr>
        <w:ind w:firstLine="432"/>
        <w:jc w:val="both"/>
        <w:rPr>
          <w:sz w:val="22"/>
          <w:szCs w:val="22"/>
        </w:rPr>
      </w:pPr>
    </w:p>
    <w:p w14:paraId="74AEDB45" w14:textId="77777777" w:rsidR="009B2E55" w:rsidRDefault="00AB70EB">
      <w:pPr>
        <w:jc w:val="center"/>
        <w:rPr>
          <w:sz w:val="22"/>
          <w:szCs w:val="22"/>
        </w:rPr>
      </w:pPr>
      <w:r>
        <w:rPr>
          <w:noProof/>
          <w:sz w:val="22"/>
          <w:szCs w:val="22"/>
        </w:rPr>
        <w:drawing>
          <wp:inline distT="0" distB="0" distL="0" distR="0" wp14:anchorId="35D30F6C" wp14:editId="7D0384E9">
            <wp:extent cx="5559810" cy="117709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559810" cy="1177095"/>
                    </a:xfrm>
                    <a:prstGeom prst="rect">
                      <a:avLst/>
                    </a:prstGeom>
                    <a:ln/>
                  </pic:spPr>
                </pic:pic>
              </a:graphicData>
            </a:graphic>
          </wp:inline>
        </w:drawing>
      </w:r>
    </w:p>
    <w:p w14:paraId="731EE4FE" w14:textId="77777777" w:rsidR="009B2E55" w:rsidRDefault="00AB70EB">
      <w:pPr>
        <w:ind w:firstLine="432"/>
        <w:jc w:val="center"/>
        <w:rPr>
          <w:sz w:val="22"/>
          <w:szCs w:val="22"/>
        </w:rPr>
      </w:pPr>
      <w:r>
        <w:rPr>
          <w:sz w:val="22"/>
          <w:szCs w:val="22"/>
        </w:rPr>
        <w:t>Gambar 1. Tabel MANOVA</w:t>
      </w:r>
    </w:p>
    <w:p w14:paraId="0343D917" w14:textId="77777777" w:rsidR="009B2E55" w:rsidRDefault="009B2E55">
      <w:pPr>
        <w:ind w:firstLine="432"/>
        <w:jc w:val="both"/>
        <w:rPr>
          <w:sz w:val="22"/>
          <w:szCs w:val="22"/>
        </w:rPr>
      </w:pPr>
    </w:p>
    <w:p w14:paraId="5CEC01B9" w14:textId="77777777" w:rsidR="009B2E55" w:rsidRDefault="00AB70EB">
      <w:pPr>
        <w:ind w:firstLine="432"/>
        <w:jc w:val="both"/>
        <w:rPr>
          <w:sz w:val="22"/>
          <w:szCs w:val="22"/>
        </w:rPr>
      </w:pPr>
      <w:r>
        <w:rPr>
          <w:sz w:val="22"/>
          <w:szCs w:val="22"/>
        </w:rPr>
        <w:t>Perhitungan pertama yaitu Sum of squares (SS) Treatments (Between), yaitu jumlah kuadrat antara rataan grup dan rataan gabungan. Dalam artian yang sama, itu menghitung variabilitas antar kelompok. Yang kedua yaitu SS Residual (Within) atau SS Error, yaitu jumlah kuadrat antara data dan rataan grup, atau dapat juga diartikan variabilitas dalam kelompok. Yang ketiga yaitu SS Total, yaitu jumlah antara SS Between dan SS Within yang merupakan jumlah kuadrat antara n data poin dan rataan gabungan. Dapat diartikan juga sebagai variabilitas antara data yang diamati.</w:t>
      </w:r>
    </w:p>
    <w:p w14:paraId="650B0327" w14:textId="77777777" w:rsidR="009B2E55" w:rsidRDefault="00AB70EB">
      <w:pPr>
        <w:ind w:firstLine="432"/>
        <w:jc w:val="both"/>
        <w:rPr>
          <w:sz w:val="22"/>
          <w:szCs w:val="22"/>
        </w:rPr>
      </w:pPr>
      <w:r>
        <w:rPr>
          <w:sz w:val="22"/>
          <w:szCs w:val="22"/>
        </w:rPr>
        <w:t>Setelah mendapatkan perhitungan pada tabel MANOVA maka dapat dilakukan pengujian hipotesis yaitu tolak H</w:t>
      </w:r>
      <w:r>
        <w:rPr>
          <w:sz w:val="22"/>
          <w:szCs w:val="22"/>
          <w:vertAlign w:val="subscript"/>
        </w:rPr>
        <w:t>0</w:t>
      </w:r>
      <w:r>
        <w:rPr>
          <w:sz w:val="22"/>
          <w:szCs w:val="22"/>
        </w:rPr>
        <w:t xml:space="preserve"> jika</w:t>
      </w:r>
    </w:p>
    <w:p w14:paraId="7284E40E" w14:textId="428D3768" w:rsidR="009B2E55" w:rsidRDefault="00AB70EB" w:rsidP="000F6BC2">
      <w:pPr>
        <w:tabs>
          <w:tab w:val="right" w:pos="9360"/>
        </w:tabs>
        <w:ind w:firstLine="432"/>
        <w:rPr>
          <w:sz w:val="22"/>
          <w:szCs w:val="22"/>
        </w:rPr>
      </w:pPr>
      <w:r>
        <w:rPr>
          <w:sz w:val="22"/>
          <w:szCs w:val="22"/>
        </w:rPr>
        <w:t>Λ</w:t>
      </w:r>
      <w:r>
        <w:rPr>
          <w:sz w:val="22"/>
          <w:szCs w:val="22"/>
          <w:vertAlign w:val="superscript"/>
        </w:rPr>
        <w:t>*</w:t>
      </w:r>
      <w:r>
        <w:rPr>
          <w:sz w:val="22"/>
          <w:szCs w:val="22"/>
        </w:rPr>
        <w:t xml:space="preserve"> = </w:t>
      </w:r>
      <m:oMath>
        <m:f>
          <m:fPr>
            <m:ctrlPr>
              <w:rPr>
                <w:rFonts w:ascii="Cambria Math" w:hAnsi="Cambria Math"/>
                <w:sz w:val="22"/>
                <w:szCs w:val="22"/>
              </w:rPr>
            </m:ctrlPr>
          </m:fPr>
          <m:num>
            <m:r>
              <w:rPr>
                <w:rFonts w:ascii="Cambria Math" w:hAnsi="Cambria Math"/>
                <w:sz w:val="22"/>
                <w:szCs w:val="22"/>
              </w:rPr>
              <m:t>|W|</m:t>
            </m:r>
          </m:num>
          <m:den>
            <m:r>
              <w:rPr>
                <w:rFonts w:ascii="Cambria Math" w:hAnsi="Cambria Math"/>
                <w:sz w:val="22"/>
                <w:szCs w:val="22"/>
              </w:rPr>
              <m:t>|B+W|</m:t>
            </m:r>
          </m:den>
        </m:f>
      </m:oMath>
      <w:r>
        <w:rPr>
          <w:sz w:val="22"/>
          <w:szCs w:val="22"/>
        </w:rPr>
        <w:t xml:space="preserve"> terlalu kecil</w:t>
      </w:r>
      <w:r>
        <w:rPr>
          <w:sz w:val="22"/>
          <w:szCs w:val="22"/>
        </w:rPr>
        <w:tab/>
        <w:t>(1)</w:t>
      </w:r>
    </w:p>
    <w:p w14:paraId="33D661A8" w14:textId="77777777" w:rsidR="00345FBE" w:rsidRDefault="00345FBE" w:rsidP="00345FBE">
      <w:pPr>
        <w:jc w:val="both"/>
        <w:rPr>
          <w:sz w:val="22"/>
          <w:szCs w:val="22"/>
        </w:rPr>
      </w:pPr>
      <w:r>
        <w:rPr>
          <w:sz w:val="22"/>
          <w:szCs w:val="22"/>
        </w:rPr>
        <w:t>dengan</w:t>
      </w:r>
    </w:p>
    <w:p w14:paraId="5060FCFD" w14:textId="6893E0CE" w:rsidR="00345FBE" w:rsidRDefault="00345FBE" w:rsidP="00345FBE">
      <w:pPr>
        <w:jc w:val="both"/>
        <w:rPr>
          <w:sz w:val="22"/>
          <w:szCs w:val="22"/>
        </w:rPr>
      </w:pPr>
      <w:r>
        <w:rPr>
          <w:sz w:val="22"/>
          <w:szCs w:val="22"/>
        </w:rPr>
        <w:t>Λ</w:t>
      </w:r>
      <w:r>
        <w:rPr>
          <w:sz w:val="22"/>
          <w:szCs w:val="22"/>
          <w:vertAlign w:val="superscript"/>
        </w:rPr>
        <w:t>*</w:t>
      </w:r>
      <w:r>
        <w:rPr>
          <w:sz w:val="22"/>
          <w:szCs w:val="22"/>
        </w:rPr>
        <w:t xml:space="preserve"> = statistik uji wilks lambda</w:t>
      </w:r>
      <w:r w:rsidR="00AB30E5">
        <w:rPr>
          <w:sz w:val="22"/>
          <w:szCs w:val="22"/>
        </w:rPr>
        <w:t>,</w:t>
      </w:r>
    </w:p>
    <w:p w14:paraId="08161BB0" w14:textId="0C241F92" w:rsidR="00345FBE" w:rsidRDefault="00345FBE" w:rsidP="00345FBE">
      <w:pPr>
        <w:jc w:val="both"/>
        <w:rPr>
          <w:sz w:val="22"/>
          <w:szCs w:val="22"/>
        </w:rPr>
      </w:pPr>
      <w:r>
        <w:rPr>
          <w:sz w:val="22"/>
          <w:szCs w:val="22"/>
        </w:rPr>
        <w:t>|W| = Sum of squares within</w:t>
      </w:r>
      <w:r w:rsidR="00AB30E5">
        <w:rPr>
          <w:sz w:val="22"/>
          <w:szCs w:val="22"/>
        </w:rPr>
        <w:t>,</w:t>
      </w:r>
    </w:p>
    <w:p w14:paraId="514F7ECD" w14:textId="7D93EE5C" w:rsidR="00017A05" w:rsidRDefault="00345FBE" w:rsidP="00345FBE">
      <w:pPr>
        <w:jc w:val="both"/>
        <w:rPr>
          <w:sz w:val="22"/>
          <w:szCs w:val="22"/>
        </w:rPr>
      </w:pPr>
      <w:r>
        <w:rPr>
          <w:sz w:val="22"/>
          <w:szCs w:val="22"/>
        </w:rPr>
        <w:t>|B+W| = Sum of squares total</w:t>
      </w:r>
      <w:r w:rsidR="007C0809">
        <w:rPr>
          <w:sz w:val="22"/>
          <w:szCs w:val="22"/>
        </w:rPr>
        <w:t>.</w:t>
      </w:r>
    </w:p>
    <w:p w14:paraId="7A0135FC" w14:textId="439326F7" w:rsidR="00345FBE" w:rsidRPr="00345FBE" w:rsidRDefault="00AB70EB" w:rsidP="00017A05">
      <w:pPr>
        <w:ind w:firstLine="426"/>
        <w:jc w:val="both"/>
        <w:rPr>
          <w:sz w:val="22"/>
          <w:szCs w:val="22"/>
        </w:rPr>
      </w:pPr>
      <w:r>
        <w:rPr>
          <w:sz w:val="22"/>
          <w:szCs w:val="22"/>
        </w:rPr>
        <w:t xml:space="preserve">Pengujian </w:t>
      </w:r>
      <w:r w:rsidR="00017A05">
        <w:rPr>
          <w:sz w:val="22"/>
          <w:szCs w:val="22"/>
        </w:rPr>
        <w:t xml:space="preserve">statistik uji </w:t>
      </w:r>
      <w:r>
        <w:rPr>
          <w:sz w:val="22"/>
          <w:szCs w:val="22"/>
        </w:rPr>
        <w:t xml:space="preserve">WILKS LAMBDA </w:t>
      </w:r>
      <w:r w:rsidR="00017A05">
        <w:rPr>
          <w:sz w:val="22"/>
          <w:szCs w:val="22"/>
        </w:rPr>
        <w:t>dengan banyak variable lebih dari satu dan banyaknya kelompok adalah tiga, maka pendekatannya yaitu</w:t>
      </w:r>
    </w:p>
    <w:p w14:paraId="110A972E" w14:textId="7F4A9B75" w:rsidR="009B2E55" w:rsidRDefault="00034B41" w:rsidP="00017A05">
      <w:pPr>
        <w:tabs>
          <w:tab w:val="right" w:pos="9360"/>
        </w:tabs>
        <w:jc w:val="both"/>
        <w:rPr>
          <w:sz w:val="22"/>
          <w:szCs w:val="22"/>
        </w:rPr>
      </w:pPr>
      <m:oMath>
        <m:d>
          <m:dPr>
            <m:ctrlPr>
              <w:rPr>
                <w:rFonts w:ascii="Cambria Math" w:hAnsi="Cambria Math"/>
                <w:i/>
                <w:sz w:val="22"/>
                <w:szCs w:val="22"/>
              </w:rPr>
            </m:ctrlPr>
          </m:dPr>
          <m:e>
            <m:f>
              <m:fPr>
                <m:ctrlPr>
                  <w:rPr>
                    <w:rFonts w:ascii="Cambria Math" w:hAnsi="Cambria Math"/>
                    <w:i/>
                    <w:sz w:val="22"/>
                    <w:szCs w:val="22"/>
                  </w:rPr>
                </m:ctrlPr>
              </m:fPr>
              <m:num>
                <m:nary>
                  <m:naryPr>
                    <m:chr m:val="∑"/>
                    <m:limLoc m:val="undOvr"/>
                    <m:subHide m:val="1"/>
                    <m:supHide m:val="1"/>
                    <m:ctrlPr>
                      <w:rPr>
                        <w:rFonts w:ascii="Cambria Math" w:hAnsi="Cambria Math"/>
                        <w:i/>
                        <w:sz w:val="22"/>
                        <w:szCs w:val="22"/>
                      </w:rPr>
                    </m:ctrlPr>
                  </m:naryPr>
                  <m:sub/>
                  <m:sup/>
                  <m:e>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l</m:t>
                        </m:r>
                      </m:sub>
                    </m:sSub>
                    <m:r>
                      <w:rPr>
                        <w:rFonts w:ascii="Cambria Math" w:hAnsi="Cambria Math"/>
                        <w:sz w:val="22"/>
                        <w:szCs w:val="22"/>
                      </w:rPr>
                      <m:t>-p-2</m:t>
                    </m:r>
                  </m:e>
                </m:nary>
              </m:num>
              <m:den>
                <m:r>
                  <w:rPr>
                    <w:rFonts w:ascii="Cambria Math" w:hAnsi="Cambria Math"/>
                    <w:sz w:val="22"/>
                    <w:szCs w:val="22"/>
                  </w:rPr>
                  <m:t>p</m:t>
                </m:r>
              </m:den>
            </m:f>
          </m:e>
        </m:d>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1-</m:t>
                </m:r>
                <m:rad>
                  <m:radPr>
                    <m:degHide m:val="1"/>
                    <m:ctrlPr>
                      <w:rPr>
                        <w:rFonts w:ascii="Cambria Math" w:hAnsi="Cambria Math"/>
                        <w:i/>
                        <w:sz w:val="22"/>
                        <w:szCs w:val="22"/>
                      </w:rPr>
                    </m:ctrlPr>
                  </m:radPr>
                  <m:deg/>
                  <m:e>
                    <m:r>
                      <m:rPr>
                        <m:sty m:val="p"/>
                      </m:rPr>
                      <w:rPr>
                        <w:rFonts w:ascii="Cambria Math" w:hAnsi="Cambria Math"/>
                        <w:sz w:val="22"/>
                        <w:szCs w:val="22"/>
                      </w:rPr>
                      <m:t>Λ</m:t>
                    </m:r>
                    <m:r>
                      <m:rPr>
                        <m:sty m:val="p"/>
                      </m:rPr>
                      <w:rPr>
                        <w:rFonts w:ascii="Cambria Math" w:hAnsi="Cambria Math"/>
                        <w:sz w:val="22"/>
                        <w:szCs w:val="22"/>
                        <w:vertAlign w:val="superscript"/>
                        <w:lang w:val="en-US"/>
                      </w:rPr>
                      <m:t>*</m:t>
                    </m:r>
                  </m:e>
                </m:rad>
              </m:num>
              <m:den>
                <m:rad>
                  <m:radPr>
                    <m:degHide m:val="1"/>
                    <m:ctrlPr>
                      <w:rPr>
                        <w:rFonts w:ascii="Cambria Math" w:hAnsi="Cambria Math"/>
                        <w:sz w:val="22"/>
                        <w:szCs w:val="22"/>
                      </w:rPr>
                    </m:ctrlPr>
                  </m:radPr>
                  <m:deg/>
                  <m:e>
                    <m:r>
                      <m:rPr>
                        <m:sty m:val="p"/>
                      </m:rPr>
                      <w:rPr>
                        <w:rFonts w:ascii="Cambria Math" w:hAnsi="Cambria Math"/>
                        <w:sz w:val="22"/>
                        <w:szCs w:val="22"/>
                      </w:rPr>
                      <m:t>Λ</m:t>
                    </m:r>
                    <m:r>
                      <m:rPr>
                        <m:sty m:val="p"/>
                      </m:rPr>
                      <w:rPr>
                        <w:rFonts w:ascii="Cambria Math" w:hAnsi="Cambria Math"/>
                        <w:sz w:val="22"/>
                        <w:szCs w:val="22"/>
                        <w:vertAlign w:val="superscript"/>
                        <w:lang w:val="en-US"/>
                      </w:rPr>
                      <m:t>*</m:t>
                    </m:r>
                  </m:e>
                </m:rad>
              </m:den>
            </m:f>
          </m:e>
        </m:d>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2p,2(</m:t>
            </m:r>
            <m:nary>
              <m:naryPr>
                <m:chr m:val="∑"/>
                <m:limLoc m:val="undOvr"/>
                <m:subHide m:val="1"/>
                <m:supHide m:val="1"/>
                <m:ctrlPr>
                  <w:rPr>
                    <w:rFonts w:ascii="Cambria Math" w:hAnsi="Cambria Math"/>
                    <w:i/>
                    <w:sz w:val="22"/>
                    <w:szCs w:val="22"/>
                  </w:rPr>
                </m:ctrlPr>
              </m:naryPr>
              <m:sub/>
              <m:sup/>
              <m:e>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l</m:t>
                    </m:r>
                  </m:sub>
                </m:sSub>
                <m:r>
                  <w:rPr>
                    <w:rFonts w:ascii="Cambria Math" w:hAnsi="Cambria Math"/>
                    <w:sz w:val="22"/>
                    <w:szCs w:val="22"/>
                  </w:rPr>
                  <m:t>-p-2)</m:t>
                </m:r>
              </m:e>
            </m:nary>
          </m:sub>
        </m:sSub>
      </m:oMath>
      <w:r w:rsidR="00345FBE">
        <w:rPr>
          <w:sz w:val="22"/>
          <w:szCs w:val="22"/>
        </w:rPr>
        <w:tab/>
        <w:t>(2)</w:t>
      </w:r>
    </w:p>
    <w:p w14:paraId="7401FC47" w14:textId="38B3F854" w:rsidR="009459BB" w:rsidRDefault="00AB30E5" w:rsidP="00017A05">
      <w:pPr>
        <w:jc w:val="both"/>
        <w:rPr>
          <w:sz w:val="22"/>
          <w:szCs w:val="22"/>
        </w:rPr>
      </w:pPr>
      <w:r>
        <w:rPr>
          <w:sz w:val="22"/>
          <w:szCs w:val="22"/>
        </w:rPr>
        <w:t>d</w:t>
      </w:r>
      <w:r w:rsidR="009459BB">
        <w:rPr>
          <w:sz w:val="22"/>
          <w:szCs w:val="22"/>
        </w:rPr>
        <w:t>engan</w:t>
      </w:r>
    </w:p>
    <w:p w14:paraId="4E17D6A0" w14:textId="5C050857" w:rsidR="00AB30E5" w:rsidRDefault="00034B41" w:rsidP="00AB30E5">
      <w:pPr>
        <w:jc w:val="both"/>
        <w:rPr>
          <w:sz w:val="22"/>
          <w:szCs w:val="22"/>
        </w:rPr>
      </w:pPr>
      <m:oMath>
        <m:nary>
          <m:naryPr>
            <m:chr m:val="∑"/>
            <m:limLoc m:val="undOvr"/>
            <m:subHide m:val="1"/>
            <m:supHide m:val="1"/>
            <m:ctrlPr>
              <w:rPr>
                <w:rFonts w:ascii="Cambria Math" w:hAnsi="Cambria Math"/>
                <w:i/>
                <w:sz w:val="22"/>
                <w:szCs w:val="22"/>
              </w:rPr>
            </m:ctrlPr>
          </m:naryPr>
          <m:sub/>
          <m:sup/>
          <m:e>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l</m:t>
                </m:r>
              </m:sub>
            </m:sSub>
          </m:e>
        </m:nary>
      </m:oMath>
      <w:r w:rsidR="00AB30E5">
        <w:rPr>
          <w:sz w:val="22"/>
          <w:szCs w:val="22"/>
        </w:rPr>
        <w:t xml:space="preserve"> = banyaknya sampel semua kelompok,</w:t>
      </w:r>
    </w:p>
    <w:p w14:paraId="039194E4" w14:textId="77777777" w:rsidR="00AB30E5" w:rsidRDefault="00AB30E5" w:rsidP="00AB30E5">
      <w:pPr>
        <w:jc w:val="both"/>
        <w:rPr>
          <w:sz w:val="22"/>
          <w:szCs w:val="22"/>
        </w:rPr>
      </w:pPr>
      <m:oMath>
        <m:r>
          <w:rPr>
            <w:rFonts w:ascii="Cambria Math" w:hAnsi="Cambria Math"/>
            <w:sz w:val="22"/>
            <w:szCs w:val="22"/>
          </w:rPr>
          <m:t>p</m:t>
        </m:r>
      </m:oMath>
      <w:r>
        <w:rPr>
          <w:sz w:val="22"/>
          <w:szCs w:val="22"/>
        </w:rPr>
        <w:t xml:space="preserve"> = banyaknya variabel,</w:t>
      </w:r>
    </w:p>
    <w:p w14:paraId="3B6B9691" w14:textId="479CA19B" w:rsidR="00AB30E5" w:rsidRPr="00AB30E5" w:rsidRDefault="00AB30E5" w:rsidP="00017A05">
      <w:pPr>
        <w:jc w:val="both"/>
        <w:rPr>
          <w:sz w:val="22"/>
          <w:szCs w:val="22"/>
        </w:rPr>
      </w:pPr>
      <w:r>
        <w:rPr>
          <w:sz w:val="22"/>
          <w:szCs w:val="22"/>
        </w:rPr>
        <w:t>F = distribusi F</w:t>
      </w:r>
    </w:p>
    <w:p w14:paraId="21C2A410" w14:textId="7595C3DF" w:rsidR="007C0809" w:rsidRDefault="00AB30E5" w:rsidP="00017A05">
      <w:pPr>
        <w:jc w:val="both"/>
        <w:rPr>
          <w:sz w:val="22"/>
          <w:szCs w:val="22"/>
        </w:rPr>
      </w:pPr>
      <w:r>
        <w:rPr>
          <w:sz w:val="22"/>
          <w:szCs w:val="22"/>
        </w:rPr>
        <w:t>Λ</w:t>
      </w:r>
      <w:r>
        <w:rPr>
          <w:sz w:val="22"/>
          <w:szCs w:val="22"/>
          <w:vertAlign w:val="superscript"/>
        </w:rPr>
        <w:t>*</w:t>
      </w:r>
      <w:r>
        <w:rPr>
          <w:sz w:val="22"/>
          <w:szCs w:val="22"/>
        </w:rPr>
        <w:t xml:space="preserve"> = statistik uji wilks lambda.</w:t>
      </w:r>
    </w:p>
    <w:p w14:paraId="40B43A78" w14:textId="1517BB7A" w:rsidR="009C0366" w:rsidRDefault="009C0366" w:rsidP="009C0366">
      <w:pPr>
        <w:jc w:val="both"/>
        <w:rPr>
          <w:sz w:val="22"/>
          <w:szCs w:val="22"/>
        </w:rPr>
      </w:pPr>
      <w:r>
        <w:rPr>
          <w:sz w:val="22"/>
          <w:szCs w:val="22"/>
        </w:rPr>
        <w:t xml:space="preserve">Berdasarkan pendekatan diatas maka jika statistik uji lebih besar dari nilai F dengan derajat bebas 2p dan </w:t>
      </w:r>
      <m:oMath>
        <m:r>
          <w:rPr>
            <w:rFonts w:ascii="Cambria Math" w:hAnsi="Cambria Math"/>
            <w:sz w:val="22"/>
            <w:szCs w:val="22"/>
          </w:rPr>
          <m:t>2(</m:t>
        </m:r>
        <m:nary>
          <m:naryPr>
            <m:chr m:val="∑"/>
            <m:limLoc m:val="undOvr"/>
            <m:subHide m:val="1"/>
            <m:supHide m:val="1"/>
            <m:ctrlPr>
              <w:rPr>
                <w:rFonts w:ascii="Cambria Math" w:hAnsi="Cambria Math"/>
                <w:i/>
                <w:sz w:val="22"/>
                <w:szCs w:val="22"/>
              </w:rPr>
            </m:ctrlPr>
          </m:naryPr>
          <m:sub/>
          <m:sup/>
          <m:e>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l</m:t>
                </m:r>
              </m:sub>
            </m:sSub>
            <m:r>
              <w:rPr>
                <w:rFonts w:ascii="Cambria Math" w:hAnsi="Cambria Math"/>
                <w:sz w:val="22"/>
                <w:szCs w:val="22"/>
              </w:rPr>
              <m:t>-p-2)</m:t>
            </m:r>
          </m:e>
        </m:nary>
      </m:oMath>
      <w:r>
        <w:rPr>
          <w:sz w:val="22"/>
          <w:szCs w:val="22"/>
        </w:rPr>
        <w:t xml:space="preserve"> maka keputusannya adalah tolak H</w:t>
      </w:r>
      <w:r>
        <w:rPr>
          <w:sz w:val="22"/>
          <w:szCs w:val="22"/>
          <w:vertAlign w:val="subscript"/>
        </w:rPr>
        <w:t>0</w:t>
      </w:r>
      <w:r>
        <w:rPr>
          <w:sz w:val="22"/>
          <w:szCs w:val="22"/>
        </w:rPr>
        <w:t xml:space="preserve"> yang artinya terdapat </w:t>
      </w:r>
      <w:r>
        <w:rPr>
          <w:i/>
          <w:sz w:val="22"/>
          <w:szCs w:val="22"/>
        </w:rPr>
        <w:t>treatment effec</w:t>
      </w:r>
      <w:r>
        <w:rPr>
          <w:sz w:val="22"/>
          <w:szCs w:val="22"/>
        </w:rPr>
        <w:t>t atau perbedaan rataan antar kelompok.</w:t>
      </w:r>
    </w:p>
    <w:p w14:paraId="5D33D406" w14:textId="77777777" w:rsidR="009C0366" w:rsidRDefault="009C0366" w:rsidP="009C0366">
      <w:pPr>
        <w:ind w:firstLine="432"/>
        <w:jc w:val="both"/>
        <w:rPr>
          <w:sz w:val="22"/>
          <w:szCs w:val="22"/>
        </w:rPr>
      </w:pPr>
      <w:r>
        <w:rPr>
          <w:sz w:val="22"/>
          <w:szCs w:val="22"/>
        </w:rPr>
        <w:t>Kasus lain yang memiliki ukuran sampel yang besar dapat juga dilakukan modifikasi sehingga dapat didekatkan dengan distribusi chi-square untuk selanjutnya dilakukan uji Bartlett untuk menguji H</w:t>
      </w:r>
      <w:r>
        <w:rPr>
          <w:sz w:val="22"/>
          <w:szCs w:val="22"/>
          <w:vertAlign w:val="subscript"/>
        </w:rPr>
        <w:t>0</w:t>
      </w:r>
      <w:r>
        <w:rPr>
          <w:sz w:val="22"/>
          <w:szCs w:val="22"/>
        </w:rPr>
        <w:t>. Tolak H</w:t>
      </w:r>
      <w:r>
        <w:rPr>
          <w:sz w:val="22"/>
          <w:szCs w:val="22"/>
          <w:vertAlign w:val="subscript"/>
        </w:rPr>
        <w:t>0</w:t>
      </w:r>
      <w:r>
        <w:rPr>
          <w:sz w:val="22"/>
          <w:szCs w:val="22"/>
        </w:rPr>
        <w:t xml:space="preserve"> jika</w:t>
      </w:r>
    </w:p>
    <w:p w14:paraId="2859E07E" w14:textId="77777777" w:rsidR="009C0366" w:rsidRDefault="009C0366" w:rsidP="009C0366">
      <w:pPr>
        <w:tabs>
          <w:tab w:val="right" w:pos="9360"/>
        </w:tabs>
        <w:ind w:firstLine="432"/>
        <w:jc w:val="both"/>
        <w:rPr>
          <w:sz w:val="22"/>
          <w:szCs w:val="22"/>
        </w:rPr>
      </w:pPr>
      <m:oMath>
        <m:r>
          <w:rPr>
            <w:rFonts w:ascii="Cambria Math" w:hAnsi="Cambria Math"/>
          </w:rPr>
          <m:t>Λ</m:t>
        </m:r>
        <m:r>
          <w:rPr>
            <w:rFonts w:ascii="Cambria Math" w:hAnsi="Cambria Math"/>
            <w:sz w:val="22"/>
            <w:szCs w:val="22"/>
            <w:vertAlign w:val="superscript"/>
          </w:rPr>
          <m:t>*</m:t>
        </m:r>
        <m:r>
          <w:rPr>
            <w:rFonts w:ascii="Cambria Math" w:hAnsi="Cambria Math"/>
          </w:rPr>
          <m:t xml:space="preserve"> </m:t>
        </m:r>
        <m:r>
          <w:rPr>
            <w:rFonts w:ascii="Cambria Math" w:hAnsi="Cambria Math"/>
            <w:sz w:val="22"/>
            <w:szCs w:val="22"/>
          </w:rPr>
          <m:t xml:space="preserve">&gt; </m:t>
        </m:r>
        <m:sSubSup>
          <m:sSubSupPr>
            <m:ctrlPr>
              <w:rPr>
                <w:rFonts w:ascii="Cambria Math" w:hAnsi="Cambria Math"/>
                <w:sz w:val="22"/>
                <w:szCs w:val="22"/>
              </w:rPr>
            </m:ctrlPr>
          </m:sSubSupPr>
          <m:e>
            <m:r>
              <w:rPr>
                <w:rFonts w:ascii="Cambria Math" w:hAnsi="Cambria Math"/>
                <w:sz w:val="22"/>
                <w:szCs w:val="22"/>
              </w:rPr>
              <m:t>X</m:t>
            </m:r>
          </m:e>
          <m:sub>
            <m:d>
              <m:dPr>
                <m:ctrlPr>
                  <w:rPr>
                    <w:rFonts w:ascii="Cambria Math" w:hAnsi="Cambria Math"/>
                    <w:sz w:val="22"/>
                    <w:szCs w:val="22"/>
                  </w:rPr>
                </m:ctrlPr>
              </m:dPr>
              <m:e>
                <m:r>
                  <w:rPr>
                    <w:rFonts w:ascii="Cambria Math" w:hAnsi="Cambria Math"/>
                    <w:sz w:val="22"/>
                    <w:szCs w:val="22"/>
                  </w:rPr>
                  <m:t>p</m:t>
                </m:r>
                <m:d>
                  <m:dPr>
                    <m:ctrlPr>
                      <w:rPr>
                        <w:rFonts w:ascii="Cambria Math" w:hAnsi="Cambria Math"/>
                        <w:sz w:val="22"/>
                        <w:szCs w:val="22"/>
                      </w:rPr>
                    </m:ctrlPr>
                  </m:dPr>
                  <m:e>
                    <m:r>
                      <w:rPr>
                        <w:rFonts w:ascii="Cambria Math" w:hAnsi="Cambria Math"/>
                        <w:sz w:val="22"/>
                        <w:szCs w:val="22"/>
                      </w:rPr>
                      <m:t>g-1</m:t>
                    </m:r>
                  </m:e>
                </m:d>
              </m:e>
            </m:d>
            <m:r>
              <w:rPr>
                <w:rFonts w:ascii="Cambria Math" w:hAnsi="Cambria Math"/>
                <w:sz w:val="22"/>
                <w:szCs w:val="22"/>
              </w:rPr>
              <m:t>;1-α</m:t>
            </m:r>
          </m:sub>
          <m:sup>
            <m:r>
              <w:rPr>
                <w:rFonts w:ascii="Cambria Math" w:hAnsi="Cambria Math"/>
                <w:sz w:val="22"/>
                <w:szCs w:val="22"/>
              </w:rPr>
              <m:t>2</m:t>
            </m:r>
          </m:sup>
        </m:sSubSup>
      </m:oMath>
      <w:r>
        <w:rPr>
          <w:sz w:val="22"/>
          <w:szCs w:val="22"/>
        </w:rPr>
        <w:tab/>
        <w:t>(3)</w:t>
      </w:r>
    </w:p>
    <w:p w14:paraId="1B061459" w14:textId="77777777" w:rsidR="009C0366" w:rsidRDefault="009C0366" w:rsidP="009C0366">
      <w:pPr>
        <w:jc w:val="both"/>
        <w:rPr>
          <w:sz w:val="22"/>
          <w:szCs w:val="22"/>
        </w:rPr>
      </w:pPr>
      <w:r>
        <w:rPr>
          <w:sz w:val="22"/>
          <w:szCs w:val="22"/>
        </w:rPr>
        <w:t>dengan</w:t>
      </w:r>
    </w:p>
    <w:p w14:paraId="53475440" w14:textId="77777777" w:rsidR="009C0366" w:rsidRDefault="009C0366" w:rsidP="009C0366">
      <w:pPr>
        <w:jc w:val="both"/>
        <w:rPr>
          <w:sz w:val="22"/>
          <w:szCs w:val="22"/>
        </w:rPr>
      </w:pPr>
      <m:oMath>
        <m:r>
          <w:rPr>
            <w:rFonts w:ascii="Cambria Math" w:hAnsi="Cambria Math"/>
            <w:sz w:val="22"/>
            <w:szCs w:val="22"/>
          </w:rPr>
          <w:lastRenderedPageBreak/>
          <m:t>n</m:t>
        </m:r>
      </m:oMath>
      <w:r>
        <w:rPr>
          <w:sz w:val="22"/>
          <w:szCs w:val="22"/>
        </w:rPr>
        <w:t xml:space="preserve"> = banyaknya sampel,</w:t>
      </w:r>
    </w:p>
    <w:p w14:paraId="727804BF" w14:textId="77777777" w:rsidR="009C0366" w:rsidRDefault="009C0366" w:rsidP="009C0366">
      <w:pPr>
        <w:jc w:val="both"/>
        <w:rPr>
          <w:sz w:val="22"/>
          <w:szCs w:val="22"/>
        </w:rPr>
      </w:pPr>
      <m:oMath>
        <m:r>
          <w:rPr>
            <w:rFonts w:ascii="Cambria Math" w:hAnsi="Cambria Math"/>
            <w:sz w:val="22"/>
            <w:szCs w:val="22"/>
          </w:rPr>
          <m:t>p</m:t>
        </m:r>
      </m:oMath>
      <w:r>
        <w:rPr>
          <w:sz w:val="22"/>
          <w:szCs w:val="22"/>
        </w:rPr>
        <w:t xml:space="preserve"> = banyaknya variabel,</w:t>
      </w:r>
    </w:p>
    <w:p w14:paraId="015B0A01" w14:textId="77777777" w:rsidR="009C0366" w:rsidRDefault="009C0366" w:rsidP="009C0366">
      <w:pPr>
        <w:jc w:val="both"/>
        <w:rPr>
          <w:sz w:val="22"/>
          <w:szCs w:val="22"/>
        </w:rPr>
      </w:pPr>
      <m:oMath>
        <m:r>
          <w:rPr>
            <w:rFonts w:ascii="Cambria Math" w:hAnsi="Cambria Math"/>
            <w:sz w:val="22"/>
            <w:szCs w:val="22"/>
          </w:rPr>
          <m:t>g</m:t>
        </m:r>
      </m:oMath>
      <w:r>
        <w:rPr>
          <w:sz w:val="22"/>
          <w:szCs w:val="22"/>
        </w:rPr>
        <w:t xml:space="preserve"> = banyaknya kelompok,</w:t>
      </w:r>
    </w:p>
    <w:p w14:paraId="1C9B6A29" w14:textId="77777777" w:rsidR="009C0366" w:rsidRDefault="009C0366" w:rsidP="009C0366">
      <w:pPr>
        <w:jc w:val="both"/>
        <w:rPr>
          <w:sz w:val="22"/>
          <w:szCs w:val="22"/>
        </w:rPr>
      </w:pPr>
      <m:oMath>
        <m:r>
          <w:rPr>
            <w:rFonts w:ascii="Cambria Math" w:hAnsi="Cambria Math"/>
          </w:rPr>
          <m:t>α</m:t>
        </m:r>
      </m:oMath>
      <w:r>
        <w:rPr>
          <w:sz w:val="22"/>
          <w:szCs w:val="22"/>
        </w:rPr>
        <w:t xml:space="preserve"> = tingkat kesalahan (alpha), </w:t>
      </w:r>
    </w:p>
    <w:p w14:paraId="1144574D" w14:textId="77777777" w:rsidR="009C0366" w:rsidRDefault="00034B41" w:rsidP="009C0366">
      <w:pPr>
        <w:jc w:val="both"/>
        <w:rPr>
          <w:sz w:val="22"/>
          <w:szCs w:val="22"/>
        </w:rPr>
      </w:pPr>
      <m:oMath>
        <m:sSup>
          <m:sSupPr>
            <m:ctrlPr>
              <w:rPr>
                <w:rFonts w:ascii="Cambria Math" w:hAnsi="Cambria Math"/>
                <w:sz w:val="22"/>
                <w:szCs w:val="22"/>
              </w:rPr>
            </m:ctrlPr>
          </m:sSupPr>
          <m:e>
            <m:r>
              <w:rPr>
                <w:rFonts w:ascii="Cambria Math" w:hAnsi="Cambria Math"/>
                <w:sz w:val="22"/>
                <w:szCs w:val="22"/>
              </w:rPr>
              <m:t>X</m:t>
            </m:r>
          </m:e>
          <m:sup>
            <m:r>
              <w:rPr>
                <w:rFonts w:ascii="Cambria Math" w:hAnsi="Cambria Math"/>
                <w:sz w:val="22"/>
                <w:szCs w:val="22"/>
              </w:rPr>
              <m:t>2</m:t>
            </m:r>
          </m:sup>
        </m:sSup>
      </m:oMath>
      <w:r w:rsidR="009C0366">
        <w:rPr>
          <w:sz w:val="22"/>
          <w:szCs w:val="22"/>
        </w:rPr>
        <w:t xml:space="preserve"> = distribusi chi-square,</w:t>
      </w:r>
    </w:p>
    <w:p w14:paraId="0D884B0F" w14:textId="05D5F0FE" w:rsidR="009C0366" w:rsidRDefault="009C0366" w:rsidP="009C0366">
      <w:pPr>
        <w:jc w:val="both"/>
        <w:rPr>
          <w:sz w:val="22"/>
          <w:szCs w:val="22"/>
        </w:rPr>
      </w:pPr>
      <w:r>
        <w:rPr>
          <w:sz w:val="22"/>
          <w:szCs w:val="22"/>
        </w:rPr>
        <w:t>Λ</w:t>
      </w:r>
      <w:r>
        <w:rPr>
          <w:sz w:val="22"/>
          <w:szCs w:val="22"/>
          <w:vertAlign w:val="superscript"/>
        </w:rPr>
        <w:t>*</w:t>
      </w:r>
      <w:r>
        <w:rPr>
          <w:sz w:val="22"/>
          <w:szCs w:val="22"/>
        </w:rPr>
        <w:t xml:space="preserve"> = statistik uji wilks lambda.</w:t>
      </w:r>
    </w:p>
    <w:p w14:paraId="379F7388" w14:textId="207EFE0A" w:rsidR="009E1A27" w:rsidRDefault="009C0366" w:rsidP="00FE3D55">
      <w:pPr>
        <w:ind w:firstLine="426"/>
        <w:jc w:val="both"/>
      </w:pPr>
      <w:r>
        <w:rPr>
          <w:sz w:val="22"/>
          <w:szCs w:val="22"/>
        </w:rPr>
        <w:t>Ketika hipotesis H</w:t>
      </w:r>
      <w:r>
        <w:rPr>
          <w:sz w:val="22"/>
          <w:szCs w:val="22"/>
          <w:vertAlign w:val="subscript"/>
        </w:rPr>
        <w:t>0</w:t>
      </w:r>
      <w:r>
        <w:rPr>
          <w:sz w:val="22"/>
          <w:szCs w:val="22"/>
        </w:rPr>
        <w:t xml:space="preserve"> ditolak yang artinya terdapat </w:t>
      </w:r>
      <w:r>
        <w:rPr>
          <w:i/>
          <w:sz w:val="22"/>
          <w:szCs w:val="22"/>
        </w:rPr>
        <w:t>treatment effec</w:t>
      </w:r>
      <w:r>
        <w:rPr>
          <w:sz w:val="22"/>
          <w:szCs w:val="22"/>
        </w:rPr>
        <w:t>t atau perbedaan rataan antar kelompok</w:t>
      </w:r>
      <w:r w:rsidR="00FE3D55">
        <w:rPr>
          <w:sz w:val="22"/>
          <w:szCs w:val="22"/>
        </w:rPr>
        <w:t xml:space="preserve">, pendekatan Bonferroni dapat digunakan untuk membangun </w:t>
      </w:r>
      <w:r w:rsidR="00FE3D55" w:rsidRPr="00FE3D55">
        <w:rPr>
          <w:i/>
          <w:iCs/>
          <w:sz w:val="22"/>
          <w:szCs w:val="22"/>
        </w:rPr>
        <w:t>simultaneous confidence interval</w:t>
      </w:r>
      <w:r w:rsidR="00FE3D55">
        <w:rPr>
          <w:sz w:val="22"/>
          <w:szCs w:val="22"/>
        </w:rPr>
        <w:t xml:space="preserve"> untuk komponen perbedaan </w:t>
      </w:r>
      <m:oMath>
        <m:sSub>
          <m:sSubPr>
            <m:ctrlPr>
              <w:rPr>
                <w:rFonts w:ascii="Cambria Math" w:hAnsi="Cambria Math"/>
                <w:i/>
              </w:rPr>
            </m:ctrlPr>
          </m:sSubPr>
          <m:e>
            <m:r>
              <w:rPr>
                <w:rFonts w:ascii="Cambria Math" w:hAnsi="Cambria Math"/>
              </w:rPr>
              <m:t>τ</m:t>
            </m:r>
          </m:e>
          <m:sub>
            <m:r>
              <w:rPr>
                <w:rFonts w:ascii="Cambria Math" w:hAnsi="Cambria Math"/>
              </w:rPr>
              <m:t>ki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li</m:t>
            </m:r>
          </m:sub>
        </m:sSub>
      </m:oMath>
      <w:r w:rsidR="00FE3D55">
        <w:t xml:space="preserve"> atau </w:t>
      </w:r>
      <m:oMath>
        <m:sSub>
          <m:sSubPr>
            <m:ctrlPr>
              <w:rPr>
                <w:rFonts w:ascii="Cambria Math" w:hAnsi="Cambria Math"/>
                <w:i/>
              </w:rPr>
            </m:ctrlPr>
          </m:sSubPr>
          <m:e>
            <m:r>
              <w:rPr>
                <w:rFonts w:ascii="Cambria Math" w:hAnsi="Cambria Math"/>
              </w:rPr>
              <m:t>μ</m:t>
            </m:r>
          </m:e>
          <m:sub>
            <m:r>
              <w:rPr>
                <w:rFonts w:ascii="Cambria Math" w:hAnsi="Cambria Math"/>
              </w:rPr>
              <m:t>ki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li</m:t>
            </m:r>
          </m:sub>
        </m:sSub>
      </m:oMath>
      <w:r w:rsidR="00FE3D55">
        <w:t xml:space="preserve"> dimana i = 1,…,p dan l &lt; k = 1,…,g.</w:t>
      </w:r>
      <w:r w:rsidR="00BC2DDE">
        <w:t xml:space="preserve"> Formula untuk menghitung simultaneous confidence interval, yaitu</w:t>
      </w:r>
    </w:p>
    <w:p w14:paraId="2BB23E0F" w14:textId="7A64F4F5" w:rsidR="00BC2DDE" w:rsidRDefault="00034B41" w:rsidP="00BC2DDE">
      <w:pPr>
        <w:tabs>
          <w:tab w:val="right" w:pos="9360"/>
        </w:tabs>
        <w:ind w:firstLine="432"/>
        <w:jc w:val="both"/>
        <w:rPr>
          <w:sz w:val="22"/>
          <w:szCs w:val="22"/>
        </w:r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li</m:t>
            </m:r>
          </m:sub>
        </m:sSub>
        <m:r>
          <w:rPr>
            <w:rFonts w:ascii="Cambria Math" w:hAnsi="Cambria Math"/>
          </w:rPr>
          <m:t xml:space="preserve"> </m:t>
        </m:r>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t</m:t>
            </m:r>
          </m:e>
          <m:sub>
            <m:d>
              <m:dPr>
                <m:ctrlPr>
                  <w:rPr>
                    <w:rFonts w:ascii="Cambria Math" w:hAnsi="Cambria Math"/>
                    <w:i/>
                    <w:sz w:val="22"/>
                    <w:szCs w:val="22"/>
                  </w:rPr>
                </m:ctrlPr>
              </m:dPr>
              <m:e>
                <m:r>
                  <w:rPr>
                    <w:rFonts w:ascii="Cambria Math" w:hAnsi="Cambria Math"/>
                    <w:sz w:val="22"/>
                    <w:szCs w:val="22"/>
                  </w:rPr>
                  <m:t>n-g</m:t>
                </m:r>
              </m:e>
            </m:d>
            <m:r>
              <w:rPr>
                <w:rFonts w:ascii="Cambria Math" w:hAnsi="Cambria Math"/>
                <w:sz w:val="22"/>
                <w:szCs w:val="22"/>
              </w:rPr>
              <m:t>;(α/pg(g-1)</m:t>
            </m:r>
          </m:sub>
        </m:sSub>
        <m:rad>
          <m:radPr>
            <m:degHide m:val="1"/>
            <m:ctrlPr>
              <w:rPr>
                <w:rFonts w:ascii="Cambria Math" w:hAnsi="Cambria Math"/>
                <w:i/>
                <w:sz w:val="22"/>
                <w:szCs w:val="22"/>
              </w:rPr>
            </m:ctrlPr>
          </m:radPr>
          <m:deg/>
          <m:e>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k</m:t>
                    </m:r>
                  </m:sub>
                </m:sSub>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i</m:t>
                    </m:r>
                  </m:sub>
                </m:sSub>
              </m:den>
            </m:f>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ii</m:t>
                    </m:r>
                  </m:sub>
                </m:sSub>
              </m:num>
              <m:den>
                <m:r>
                  <w:rPr>
                    <w:rFonts w:ascii="Cambria Math" w:hAnsi="Cambria Math"/>
                    <w:sz w:val="22"/>
                    <w:szCs w:val="22"/>
                  </w:rPr>
                  <m:t>n-g</m:t>
                </m:r>
              </m:den>
            </m:f>
          </m:e>
        </m:rad>
      </m:oMath>
      <w:r w:rsidR="00BC2DDE">
        <w:rPr>
          <w:sz w:val="22"/>
          <w:szCs w:val="22"/>
        </w:rPr>
        <w:tab/>
        <w:t>(</w:t>
      </w:r>
      <w:r w:rsidR="00A134BB">
        <w:rPr>
          <w:sz w:val="22"/>
          <w:szCs w:val="22"/>
        </w:rPr>
        <w:t>4</w:t>
      </w:r>
      <w:r w:rsidR="00BC2DDE">
        <w:rPr>
          <w:sz w:val="22"/>
          <w:szCs w:val="22"/>
        </w:rPr>
        <w:t>)</w:t>
      </w:r>
    </w:p>
    <w:p w14:paraId="7003A129" w14:textId="77777777" w:rsidR="00BC2DDE" w:rsidRDefault="00BC2DDE" w:rsidP="00BC2DDE">
      <w:pPr>
        <w:jc w:val="both"/>
        <w:rPr>
          <w:sz w:val="22"/>
          <w:szCs w:val="22"/>
        </w:rPr>
      </w:pPr>
      <w:r>
        <w:rPr>
          <w:sz w:val="22"/>
          <w:szCs w:val="22"/>
        </w:rPr>
        <w:t>dengan</w:t>
      </w:r>
    </w:p>
    <w:p w14:paraId="564A8852" w14:textId="5E490F00" w:rsidR="00BC2DDE" w:rsidRDefault="00034B41" w:rsidP="00BC2DDE">
      <w:pPr>
        <w:jc w:val="both"/>
        <w:rPr>
          <w:sz w:val="22"/>
          <w:szCs w:val="22"/>
        </w:r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ki</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li</m:t>
            </m:r>
          </m:sub>
        </m:sSub>
      </m:oMath>
      <w:r w:rsidR="00BC2DDE">
        <w:rPr>
          <w:sz w:val="22"/>
          <w:szCs w:val="22"/>
        </w:rPr>
        <w:t xml:space="preserve"> =</w:t>
      </w:r>
      <w:r w:rsidR="00A134BB">
        <w:rPr>
          <w:sz w:val="22"/>
          <w:szCs w:val="22"/>
        </w:rPr>
        <w:t xml:space="preserve"> rataan kelompok ke-k</w:t>
      </w:r>
      <w:r w:rsidR="00C43651">
        <w:rPr>
          <w:sz w:val="22"/>
          <w:szCs w:val="22"/>
        </w:rPr>
        <w:t xml:space="preserve"> atau ke-l</w:t>
      </w:r>
      <w:r w:rsidR="00BC2DDE">
        <w:rPr>
          <w:sz w:val="22"/>
          <w:szCs w:val="22"/>
        </w:rPr>
        <w:t>,</w:t>
      </w:r>
    </w:p>
    <w:p w14:paraId="045C9752" w14:textId="77777777" w:rsidR="00BC2DDE" w:rsidRDefault="00BC2DDE" w:rsidP="00BC2DDE">
      <w:pPr>
        <w:jc w:val="both"/>
        <w:rPr>
          <w:sz w:val="22"/>
          <w:szCs w:val="22"/>
        </w:rPr>
      </w:pPr>
      <m:oMath>
        <m:r>
          <w:rPr>
            <w:rFonts w:ascii="Cambria Math" w:hAnsi="Cambria Math"/>
            <w:sz w:val="22"/>
            <w:szCs w:val="22"/>
          </w:rPr>
          <m:t>p</m:t>
        </m:r>
      </m:oMath>
      <w:r>
        <w:rPr>
          <w:sz w:val="22"/>
          <w:szCs w:val="22"/>
        </w:rPr>
        <w:t xml:space="preserve"> = banyaknya variabel,</w:t>
      </w:r>
    </w:p>
    <w:p w14:paraId="6F25DCFC" w14:textId="77777777" w:rsidR="00BC2DDE" w:rsidRDefault="00BC2DDE" w:rsidP="00BC2DDE">
      <w:pPr>
        <w:jc w:val="both"/>
        <w:rPr>
          <w:sz w:val="22"/>
          <w:szCs w:val="22"/>
        </w:rPr>
      </w:pPr>
      <m:oMath>
        <m:r>
          <w:rPr>
            <w:rFonts w:ascii="Cambria Math" w:hAnsi="Cambria Math"/>
            <w:sz w:val="22"/>
            <w:szCs w:val="22"/>
          </w:rPr>
          <m:t>g</m:t>
        </m:r>
      </m:oMath>
      <w:r>
        <w:rPr>
          <w:sz w:val="22"/>
          <w:szCs w:val="22"/>
        </w:rPr>
        <w:t xml:space="preserve"> = banyaknya kelompok,</w:t>
      </w:r>
    </w:p>
    <w:p w14:paraId="1A9B923B" w14:textId="77777777" w:rsidR="00BC2DDE" w:rsidRDefault="00BC2DDE" w:rsidP="00BC2DDE">
      <w:pPr>
        <w:jc w:val="both"/>
        <w:rPr>
          <w:sz w:val="22"/>
          <w:szCs w:val="22"/>
        </w:rPr>
      </w:pPr>
      <m:oMath>
        <m:r>
          <w:rPr>
            <w:rFonts w:ascii="Cambria Math" w:hAnsi="Cambria Math"/>
          </w:rPr>
          <m:t>α</m:t>
        </m:r>
      </m:oMath>
      <w:r>
        <w:rPr>
          <w:sz w:val="22"/>
          <w:szCs w:val="22"/>
        </w:rPr>
        <w:t xml:space="preserve"> = tingkat kesalahan (alpha), </w:t>
      </w:r>
    </w:p>
    <w:p w14:paraId="5D459D73" w14:textId="71F4314C" w:rsidR="00BC2DDE" w:rsidRDefault="00C43651" w:rsidP="00BC2DDE">
      <w:pPr>
        <w:jc w:val="both"/>
        <w:rPr>
          <w:sz w:val="22"/>
          <w:szCs w:val="22"/>
        </w:rPr>
      </w:pPr>
      <w:r>
        <w:rPr>
          <w:sz w:val="22"/>
          <w:szCs w:val="22"/>
        </w:rPr>
        <w:t xml:space="preserve">t </w:t>
      </w:r>
      <w:r w:rsidR="00BC2DDE">
        <w:rPr>
          <w:sz w:val="22"/>
          <w:szCs w:val="22"/>
        </w:rPr>
        <w:t>= distribusi</w:t>
      </w:r>
      <w:r>
        <w:rPr>
          <w:sz w:val="22"/>
          <w:szCs w:val="22"/>
        </w:rPr>
        <w:t xml:space="preserve"> t</w:t>
      </w:r>
      <w:r w:rsidR="00BC2DDE">
        <w:rPr>
          <w:sz w:val="22"/>
          <w:szCs w:val="22"/>
        </w:rPr>
        <w:t>,</w:t>
      </w:r>
    </w:p>
    <w:p w14:paraId="52B63193" w14:textId="0706BE6A" w:rsidR="00BC2DDE" w:rsidRDefault="00C43651" w:rsidP="00BC2DDE">
      <w:pPr>
        <w:jc w:val="both"/>
        <w:rPr>
          <w:sz w:val="22"/>
          <w:szCs w:val="22"/>
        </w:rPr>
      </w:pPr>
      <w:r>
        <w:rPr>
          <w:sz w:val="22"/>
          <w:szCs w:val="22"/>
        </w:rPr>
        <w:t>wii</w:t>
      </w:r>
      <w:r w:rsidR="00BC2DDE">
        <w:rPr>
          <w:sz w:val="22"/>
          <w:szCs w:val="22"/>
        </w:rPr>
        <w:t xml:space="preserve"> = </w:t>
      </w:r>
      <w:r>
        <w:rPr>
          <w:sz w:val="22"/>
          <w:szCs w:val="22"/>
        </w:rPr>
        <w:t>elemen diagonal ke-i dari W,</w:t>
      </w:r>
    </w:p>
    <w:p w14:paraId="45479A02" w14:textId="28C3A01B" w:rsidR="00C43651" w:rsidRDefault="00C43651" w:rsidP="00BC2DDE">
      <w:pPr>
        <w:jc w:val="both"/>
        <w:rPr>
          <w:sz w:val="22"/>
          <w:szCs w:val="22"/>
        </w:rPr>
      </w:pPr>
      <w:r>
        <w:rPr>
          <w:sz w:val="22"/>
          <w:szCs w:val="22"/>
        </w:rPr>
        <w:t>nk, nl = banyaknya sampel kelompok ke-k atau ke-l,</w:t>
      </w:r>
    </w:p>
    <w:p w14:paraId="42E48E8A" w14:textId="1ADFF27E" w:rsidR="00BC2DDE" w:rsidRPr="009C0366" w:rsidRDefault="00C43651" w:rsidP="00BC2DDE">
      <w:pPr>
        <w:jc w:val="both"/>
        <w:rPr>
          <w:sz w:val="22"/>
          <w:szCs w:val="22"/>
        </w:rPr>
      </w:pPr>
      <w:r>
        <w:rPr>
          <w:sz w:val="22"/>
          <w:szCs w:val="22"/>
        </w:rPr>
        <w:t>n = banyaknya seluruh sampel.</w:t>
      </w:r>
    </w:p>
    <w:p w14:paraId="3E651095" w14:textId="77777777" w:rsidR="009C0366" w:rsidRDefault="009C0366" w:rsidP="007C0809">
      <w:pPr>
        <w:ind w:firstLine="426"/>
        <w:rPr>
          <w:b/>
          <w:sz w:val="22"/>
          <w:szCs w:val="22"/>
        </w:rPr>
      </w:pPr>
    </w:p>
    <w:p w14:paraId="7065222F" w14:textId="0B903DCC" w:rsidR="009B2E55" w:rsidRDefault="00AB70EB" w:rsidP="009E1A27">
      <w:pPr>
        <w:spacing w:before="200"/>
        <w:rPr>
          <w:b/>
          <w:sz w:val="22"/>
          <w:szCs w:val="22"/>
        </w:rPr>
      </w:pPr>
      <w:r>
        <w:rPr>
          <w:b/>
          <w:sz w:val="22"/>
          <w:szCs w:val="22"/>
        </w:rPr>
        <w:t>Data dan Sumber Data</w:t>
      </w:r>
    </w:p>
    <w:p w14:paraId="54FF4111" w14:textId="04CA2AE0" w:rsidR="007C0809" w:rsidRDefault="00AB70EB">
      <w:pPr>
        <w:ind w:firstLine="432"/>
        <w:jc w:val="both"/>
        <w:rPr>
          <w:sz w:val="22"/>
          <w:szCs w:val="22"/>
        </w:rPr>
      </w:pPr>
      <w:r>
        <w:rPr>
          <w:sz w:val="22"/>
          <w:szCs w:val="22"/>
        </w:rPr>
        <w:t xml:space="preserve">Data yang digunakan dalam analisis ini yaitu data Indeks Pembangunan Manusia (IPM) dan Gini Rasio per kabupaten/kota tahun 2021 pada tiga provinsi berbeda di Indonesia, yaitu Jawa Barat, Jawa Timur, dan DI Yogyakarta. </w:t>
      </w:r>
      <w:r w:rsidR="007C0809">
        <w:rPr>
          <w:sz w:val="22"/>
          <w:szCs w:val="22"/>
        </w:rPr>
        <w:t xml:space="preserve">Indeks Pembangunan Manusia (IPM) </w:t>
      </w:r>
      <w:r w:rsidR="007C0809" w:rsidRPr="007C0809">
        <w:rPr>
          <w:sz w:val="22"/>
          <w:szCs w:val="22"/>
        </w:rPr>
        <w:t>adalah indeks komposit yang mengukur pembangunan manusia dari tiga aspek dasar yaitu umur Panjang dan hidup sehat, pengetahuan, dan standar hidup layak</w:t>
      </w:r>
      <w:r w:rsidR="007C0809">
        <w:rPr>
          <w:sz w:val="22"/>
          <w:szCs w:val="22"/>
        </w:rPr>
        <w:t xml:space="preserve">. Gini Rasio </w:t>
      </w:r>
      <w:r w:rsidR="007C0809" w:rsidRPr="007C0809">
        <w:rPr>
          <w:sz w:val="22"/>
          <w:szCs w:val="22"/>
        </w:rPr>
        <w:t>merupakan indikator yang menunjukkan tingkat ketimpangan pengeluaran secara menyeluruh.</w:t>
      </w:r>
    </w:p>
    <w:p w14:paraId="72DD68F2" w14:textId="484D3536" w:rsidR="009B2E55" w:rsidRDefault="00AB70EB">
      <w:pPr>
        <w:ind w:firstLine="432"/>
        <w:jc w:val="both"/>
        <w:rPr>
          <w:sz w:val="22"/>
          <w:szCs w:val="22"/>
        </w:rPr>
      </w:pPr>
      <w:r>
        <w:rPr>
          <w:sz w:val="22"/>
          <w:szCs w:val="22"/>
        </w:rPr>
        <w:t>Sumber data berasal dari website BPS masing-masing provinsi, yaitu sebagai berikut:</w:t>
      </w:r>
    </w:p>
    <w:p w14:paraId="33100021" w14:textId="77777777" w:rsidR="009B2E55" w:rsidRDefault="00AB70EB">
      <w:pPr>
        <w:numPr>
          <w:ilvl w:val="0"/>
          <w:numId w:val="3"/>
        </w:numPr>
        <w:ind w:left="851"/>
        <w:jc w:val="both"/>
        <w:rPr>
          <w:sz w:val="22"/>
          <w:szCs w:val="22"/>
        </w:rPr>
      </w:pPr>
      <w:r>
        <w:rPr>
          <w:sz w:val="22"/>
          <w:szCs w:val="22"/>
        </w:rPr>
        <w:t xml:space="preserve">Jawa Barat </w:t>
      </w:r>
      <w:r>
        <w:rPr>
          <w:sz w:val="22"/>
          <w:szCs w:val="22"/>
        </w:rPr>
        <w:tab/>
      </w:r>
    </w:p>
    <w:p w14:paraId="07E1C157" w14:textId="77777777" w:rsidR="009B2E55" w:rsidRDefault="00AB70EB">
      <w:pPr>
        <w:numPr>
          <w:ilvl w:val="0"/>
          <w:numId w:val="1"/>
        </w:numPr>
        <w:jc w:val="both"/>
        <w:rPr>
          <w:sz w:val="22"/>
          <w:szCs w:val="22"/>
        </w:rPr>
      </w:pPr>
      <w:r>
        <w:rPr>
          <w:sz w:val="22"/>
          <w:szCs w:val="22"/>
        </w:rPr>
        <w:t>Gini</w:t>
      </w:r>
      <w:r>
        <w:rPr>
          <w:sz w:val="22"/>
          <w:szCs w:val="22"/>
        </w:rPr>
        <w:tab/>
        <w:t xml:space="preserve">: </w:t>
      </w:r>
      <w:hyperlink r:id="rId16">
        <w:r>
          <w:rPr>
            <w:color w:val="0000FF"/>
            <w:sz w:val="22"/>
            <w:szCs w:val="22"/>
            <w:u w:val="single"/>
          </w:rPr>
          <w:t>https://jabar.bps.go.id/indicator/23/41/1/gini-rasio-kabupaten-kota.html</w:t>
        </w:r>
      </w:hyperlink>
      <w:r>
        <w:rPr>
          <w:sz w:val="22"/>
          <w:szCs w:val="22"/>
        </w:rPr>
        <w:t xml:space="preserve"> </w:t>
      </w:r>
    </w:p>
    <w:p w14:paraId="7AC2E7CA" w14:textId="77777777" w:rsidR="009B2E55" w:rsidRDefault="00AB70EB">
      <w:pPr>
        <w:numPr>
          <w:ilvl w:val="0"/>
          <w:numId w:val="1"/>
        </w:numPr>
        <w:jc w:val="both"/>
        <w:rPr>
          <w:sz w:val="22"/>
          <w:szCs w:val="22"/>
        </w:rPr>
      </w:pPr>
      <w:r>
        <w:rPr>
          <w:sz w:val="22"/>
          <w:szCs w:val="22"/>
        </w:rPr>
        <w:t>IPM</w:t>
      </w:r>
      <w:r>
        <w:rPr>
          <w:sz w:val="22"/>
          <w:szCs w:val="22"/>
        </w:rPr>
        <w:tab/>
        <w:t>:</w:t>
      </w:r>
      <w:r>
        <w:t xml:space="preserve"> </w:t>
      </w:r>
      <w:hyperlink r:id="rId17">
        <w:r>
          <w:rPr>
            <w:color w:val="0000FF"/>
            <w:sz w:val="22"/>
            <w:szCs w:val="22"/>
            <w:u w:val="single"/>
          </w:rPr>
          <w:t>https://jabar.bps.go.id/indicator/26/123/1/indeks-pembangunan-manusia.html</w:t>
        </w:r>
      </w:hyperlink>
      <w:r>
        <w:rPr>
          <w:sz w:val="22"/>
          <w:szCs w:val="22"/>
        </w:rPr>
        <w:t xml:space="preserve"> </w:t>
      </w:r>
    </w:p>
    <w:p w14:paraId="224331A3" w14:textId="77777777" w:rsidR="009B2E55" w:rsidRDefault="009B2E55">
      <w:pPr>
        <w:ind w:left="851"/>
        <w:jc w:val="both"/>
        <w:rPr>
          <w:sz w:val="22"/>
          <w:szCs w:val="22"/>
        </w:rPr>
      </w:pPr>
    </w:p>
    <w:p w14:paraId="06D3FA6F" w14:textId="77777777" w:rsidR="009B2E55" w:rsidRDefault="00AB70EB">
      <w:pPr>
        <w:numPr>
          <w:ilvl w:val="0"/>
          <w:numId w:val="3"/>
        </w:numPr>
        <w:ind w:left="851"/>
        <w:jc w:val="both"/>
        <w:rPr>
          <w:sz w:val="22"/>
          <w:szCs w:val="22"/>
        </w:rPr>
      </w:pPr>
      <w:r>
        <w:rPr>
          <w:sz w:val="22"/>
          <w:szCs w:val="22"/>
        </w:rPr>
        <w:t xml:space="preserve">Jawa Timur </w:t>
      </w:r>
    </w:p>
    <w:p w14:paraId="0D3B1AFE" w14:textId="77777777" w:rsidR="009B2E55" w:rsidRDefault="00AB70EB" w:rsidP="009E1A27">
      <w:pPr>
        <w:numPr>
          <w:ilvl w:val="0"/>
          <w:numId w:val="1"/>
        </w:numPr>
        <w:rPr>
          <w:sz w:val="22"/>
          <w:szCs w:val="22"/>
        </w:rPr>
      </w:pPr>
      <w:r>
        <w:rPr>
          <w:sz w:val="22"/>
          <w:szCs w:val="22"/>
        </w:rPr>
        <w:t>Gini</w:t>
      </w:r>
      <w:r>
        <w:rPr>
          <w:sz w:val="22"/>
          <w:szCs w:val="22"/>
        </w:rPr>
        <w:tab/>
        <w:t xml:space="preserve">: </w:t>
      </w:r>
      <w:hyperlink r:id="rId18">
        <w:r>
          <w:rPr>
            <w:color w:val="0000FF"/>
            <w:sz w:val="20"/>
            <w:szCs w:val="20"/>
            <w:highlight w:val="white"/>
            <w:u w:val="single"/>
          </w:rPr>
          <w:t>https://jatim.bps.go.id/indicator/23/488/1/gini-rasio-menurut-kabupaten-kota-di-jawa-timur.html</w:t>
        </w:r>
      </w:hyperlink>
      <w:r>
        <w:rPr>
          <w:sz w:val="20"/>
          <w:szCs w:val="20"/>
          <w:highlight w:val="white"/>
        </w:rPr>
        <w:t xml:space="preserve"> </w:t>
      </w:r>
    </w:p>
    <w:p w14:paraId="2F872B43" w14:textId="77777777" w:rsidR="009B2E55" w:rsidRDefault="00AB70EB">
      <w:pPr>
        <w:numPr>
          <w:ilvl w:val="0"/>
          <w:numId w:val="1"/>
        </w:numPr>
        <w:jc w:val="both"/>
        <w:rPr>
          <w:sz w:val="22"/>
          <w:szCs w:val="22"/>
        </w:rPr>
      </w:pPr>
      <w:r>
        <w:rPr>
          <w:sz w:val="20"/>
          <w:szCs w:val="20"/>
          <w:highlight w:val="white"/>
        </w:rPr>
        <w:t>IPM</w:t>
      </w:r>
      <w:r>
        <w:rPr>
          <w:sz w:val="20"/>
          <w:szCs w:val="20"/>
          <w:highlight w:val="white"/>
        </w:rPr>
        <w:tab/>
        <w:t xml:space="preserve">: </w:t>
      </w:r>
      <w:hyperlink r:id="rId19">
        <w:r>
          <w:rPr>
            <w:color w:val="0000FF"/>
            <w:sz w:val="20"/>
            <w:szCs w:val="20"/>
            <w:highlight w:val="white"/>
            <w:u w:val="single"/>
          </w:rPr>
          <w:t>https://jatim.bps.go.id/indicator/26/36/1/ipm.html</w:t>
        </w:r>
      </w:hyperlink>
      <w:r>
        <w:rPr>
          <w:sz w:val="20"/>
          <w:szCs w:val="20"/>
          <w:highlight w:val="white"/>
        </w:rPr>
        <w:t xml:space="preserve"> </w:t>
      </w:r>
    </w:p>
    <w:p w14:paraId="6F936A86" w14:textId="77777777" w:rsidR="009B2E55" w:rsidRDefault="009B2E55">
      <w:pPr>
        <w:ind w:left="851"/>
        <w:jc w:val="both"/>
        <w:rPr>
          <w:sz w:val="22"/>
          <w:szCs w:val="22"/>
        </w:rPr>
      </w:pPr>
    </w:p>
    <w:p w14:paraId="056A97EF" w14:textId="77777777" w:rsidR="009B2E55" w:rsidRDefault="00AB70EB">
      <w:pPr>
        <w:numPr>
          <w:ilvl w:val="0"/>
          <w:numId w:val="3"/>
        </w:numPr>
        <w:ind w:left="851"/>
        <w:jc w:val="both"/>
        <w:rPr>
          <w:sz w:val="22"/>
          <w:szCs w:val="22"/>
        </w:rPr>
      </w:pPr>
      <w:r>
        <w:rPr>
          <w:sz w:val="22"/>
          <w:szCs w:val="22"/>
        </w:rPr>
        <w:t>DI Yogyakarta</w:t>
      </w:r>
    </w:p>
    <w:p w14:paraId="65536C09" w14:textId="77777777" w:rsidR="009B2E55" w:rsidRDefault="00AB70EB">
      <w:pPr>
        <w:numPr>
          <w:ilvl w:val="0"/>
          <w:numId w:val="1"/>
        </w:numPr>
        <w:rPr>
          <w:sz w:val="22"/>
          <w:szCs w:val="22"/>
        </w:rPr>
      </w:pPr>
      <w:r>
        <w:rPr>
          <w:sz w:val="22"/>
          <w:szCs w:val="22"/>
        </w:rPr>
        <w:t>Gini</w:t>
      </w:r>
      <w:r>
        <w:rPr>
          <w:sz w:val="22"/>
          <w:szCs w:val="22"/>
        </w:rPr>
        <w:tab/>
        <w:t xml:space="preserve">: </w:t>
      </w:r>
      <w:hyperlink r:id="rId20">
        <w:r>
          <w:rPr>
            <w:color w:val="0000FF"/>
            <w:sz w:val="22"/>
            <w:szCs w:val="22"/>
            <w:u w:val="single"/>
          </w:rPr>
          <w:t>https://yogyakarta.bps.go.id/indicator/23/333/1/gini-ratio-menurut-kabupaten-kota.html</w:t>
        </w:r>
      </w:hyperlink>
      <w:r>
        <w:rPr>
          <w:sz w:val="22"/>
          <w:szCs w:val="22"/>
        </w:rPr>
        <w:t xml:space="preserve"> </w:t>
      </w:r>
    </w:p>
    <w:p w14:paraId="4C6488A9" w14:textId="5ADB8EDE" w:rsidR="009B2E55" w:rsidRDefault="00AB70EB">
      <w:pPr>
        <w:numPr>
          <w:ilvl w:val="0"/>
          <w:numId w:val="1"/>
        </w:numPr>
        <w:rPr>
          <w:sz w:val="22"/>
          <w:szCs w:val="22"/>
        </w:rPr>
      </w:pPr>
      <w:r>
        <w:rPr>
          <w:sz w:val="22"/>
          <w:szCs w:val="22"/>
        </w:rPr>
        <w:t>IPM</w:t>
      </w:r>
      <w:r>
        <w:rPr>
          <w:sz w:val="22"/>
          <w:szCs w:val="22"/>
        </w:rPr>
        <w:tab/>
        <w:t xml:space="preserve">: </w:t>
      </w:r>
      <w:hyperlink r:id="rId21">
        <w:r>
          <w:rPr>
            <w:color w:val="0000FF"/>
            <w:sz w:val="22"/>
            <w:szCs w:val="22"/>
            <w:u w:val="single"/>
          </w:rPr>
          <w:t>https://yogyakarta.bps.go.id/indicator/26/316/1/-metode-baru-indeks-pembangunan-manusia.html</w:t>
        </w:r>
      </w:hyperlink>
      <w:r>
        <w:rPr>
          <w:sz w:val="22"/>
          <w:szCs w:val="22"/>
        </w:rPr>
        <w:t xml:space="preserve"> </w:t>
      </w:r>
    </w:p>
    <w:p w14:paraId="3404BD08" w14:textId="77777777" w:rsidR="007C0809" w:rsidRDefault="007C0809" w:rsidP="007C0809">
      <w:pPr>
        <w:ind w:left="1211"/>
        <w:rPr>
          <w:sz w:val="22"/>
          <w:szCs w:val="22"/>
        </w:rPr>
      </w:pPr>
    </w:p>
    <w:p w14:paraId="2A982D48" w14:textId="649EB88C" w:rsidR="00567558" w:rsidRDefault="005C3AB5" w:rsidP="005C3AB5">
      <w:pPr>
        <w:rPr>
          <w:sz w:val="22"/>
          <w:szCs w:val="22"/>
        </w:rPr>
      </w:pPr>
      <w:r>
        <w:rPr>
          <w:sz w:val="22"/>
          <w:szCs w:val="22"/>
        </w:rPr>
        <w:t>Data yang sudah digabungkan dan yang digunakan</w:t>
      </w:r>
      <w:r w:rsidR="00567558">
        <w:rPr>
          <w:sz w:val="22"/>
          <w:szCs w:val="22"/>
        </w:rPr>
        <w:t xml:space="preserve"> pada analisis serta proses pengolahan dan analisis data tersebut dapat dilihat pada repositori berikut: </w:t>
      </w:r>
      <w:hyperlink r:id="rId22" w:history="1">
        <w:r w:rsidR="00567558" w:rsidRPr="00A84AD7">
          <w:rPr>
            <w:rStyle w:val="Hyperlink"/>
            <w:sz w:val="22"/>
            <w:szCs w:val="22"/>
          </w:rPr>
          <w:t>https://github.com/aryasepta7901/TugasAkhir-APG</w:t>
        </w:r>
      </w:hyperlink>
      <w:r w:rsidR="00567558">
        <w:rPr>
          <w:sz w:val="22"/>
          <w:szCs w:val="22"/>
        </w:rPr>
        <w:t xml:space="preserve"> </w:t>
      </w:r>
    </w:p>
    <w:p w14:paraId="260ADE41" w14:textId="77777777" w:rsidR="005C3AB5" w:rsidRDefault="005C3AB5">
      <w:pPr>
        <w:rPr>
          <w:sz w:val="22"/>
          <w:szCs w:val="22"/>
        </w:rPr>
      </w:pPr>
    </w:p>
    <w:p w14:paraId="4C668293" w14:textId="77777777" w:rsidR="009B2E55" w:rsidRDefault="00AB70EB">
      <w:pPr>
        <w:keepNext/>
        <w:pBdr>
          <w:top w:val="nil"/>
          <w:left w:val="nil"/>
          <w:bottom w:val="nil"/>
          <w:right w:val="nil"/>
          <w:between w:val="nil"/>
        </w:pBdr>
        <w:spacing w:before="240" w:after="240"/>
        <w:jc w:val="both"/>
        <w:rPr>
          <w:b/>
          <w:color w:val="000000"/>
        </w:rPr>
      </w:pPr>
      <w:r>
        <w:rPr>
          <w:b/>
          <w:color w:val="000000"/>
        </w:rPr>
        <w:t>HASIL DAN PEMBAHASAN</w:t>
      </w:r>
    </w:p>
    <w:p w14:paraId="13AC1C4B" w14:textId="77777777" w:rsidR="009B2E55" w:rsidRDefault="00AB70EB">
      <w:pPr>
        <w:ind w:firstLine="432"/>
        <w:jc w:val="both"/>
        <w:rPr>
          <w:sz w:val="22"/>
          <w:szCs w:val="22"/>
        </w:rPr>
      </w:pPr>
      <w:r>
        <w:rPr>
          <w:sz w:val="22"/>
          <w:szCs w:val="22"/>
        </w:rPr>
        <w:t>Pengujian asumsi normalitas Saphiro Wilk :</w:t>
      </w:r>
    </w:p>
    <w:p w14:paraId="4CC62962" w14:textId="77777777" w:rsidR="009B2E55" w:rsidRDefault="00034B41">
      <w:pPr>
        <w:ind w:firstLine="432"/>
        <w:jc w:val="both"/>
        <w:rPr>
          <w:sz w:val="22"/>
          <w:szCs w:val="22"/>
        </w:rPr>
      </w:pPr>
      <m:oMath>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0</m:t>
            </m:r>
          </m:sub>
        </m:sSub>
        <m:r>
          <w:rPr>
            <w:rFonts w:ascii="Cambria Math" w:hAnsi="Cambria Math"/>
            <w:sz w:val="22"/>
            <w:szCs w:val="22"/>
          </w:rPr>
          <m:t xml:space="preserve"> :</m:t>
        </m:r>
      </m:oMath>
      <w:r w:rsidR="00AB70EB">
        <w:rPr>
          <w:sz w:val="22"/>
          <w:szCs w:val="22"/>
        </w:rPr>
        <w:t xml:space="preserve"> Data berdistribusi normal</w:t>
      </w:r>
    </w:p>
    <w:p w14:paraId="51FAEB95" w14:textId="77777777" w:rsidR="00892B22" w:rsidRDefault="00034B41" w:rsidP="00892B22">
      <w:pPr>
        <w:ind w:firstLine="432"/>
        <w:jc w:val="both"/>
        <w:rPr>
          <w:sz w:val="22"/>
          <w:szCs w:val="22"/>
        </w:rPr>
      </w:pPr>
      <m:oMath>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1</m:t>
            </m:r>
          </m:sub>
        </m:sSub>
        <m:r>
          <w:rPr>
            <w:rFonts w:ascii="Cambria Math" w:hAnsi="Cambria Math"/>
            <w:sz w:val="22"/>
            <w:szCs w:val="22"/>
          </w:rPr>
          <m:t xml:space="preserve"> :</m:t>
        </m:r>
      </m:oMath>
      <w:r w:rsidR="00AB70EB">
        <w:rPr>
          <w:sz w:val="22"/>
          <w:szCs w:val="22"/>
        </w:rPr>
        <w:t xml:space="preserve"> Data tidak berdistribusi normal</w:t>
      </w:r>
    </w:p>
    <w:p w14:paraId="381896A7" w14:textId="66868721" w:rsidR="009B2E55" w:rsidRPr="00892B22" w:rsidRDefault="00AB70EB" w:rsidP="00892B22">
      <w:pPr>
        <w:ind w:left="426" w:firstLine="432"/>
        <w:jc w:val="both"/>
        <w:rPr>
          <w:sz w:val="22"/>
          <w:szCs w:val="22"/>
        </w:rPr>
      </w:pPr>
      <m:oMathPara>
        <m:oMathParaPr>
          <m:jc m:val="left"/>
        </m:oMathParaPr>
        <m:oMath>
          <m:r>
            <w:rPr>
              <w:rFonts w:ascii="Cambria Math" w:hAnsi="Cambria Math"/>
              <w:sz w:val="22"/>
              <w:szCs w:val="22"/>
            </w:rPr>
            <m:t>α=0,0</m:t>
          </m:r>
          <m:r>
            <w:rPr>
              <w:rFonts w:ascii="Cambria Math" w:hAnsi="Cambria Math"/>
              <w:sz w:val="22"/>
              <w:szCs w:val="22"/>
            </w:rPr>
            <m:t>1</m:t>
          </m:r>
        </m:oMath>
      </m:oMathPara>
    </w:p>
    <w:p w14:paraId="2258457C" w14:textId="77777777" w:rsidR="009B2E55" w:rsidRDefault="009B2E55">
      <w:pPr>
        <w:ind w:left="450"/>
        <w:rPr>
          <w:sz w:val="22"/>
          <w:szCs w:val="22"/>
        </w:rPr>
      </w:pPr>
    </w:p>
    <w:p w14:paraId="2F6E5E18" w14:textId="77777777" w:rsidR="009B2E55" w:rsidRDefault="00AB70EB">
      <w:pPr>
        <w:spacing w:before="120" w:after="60"/>
        <w:ind w:left="450"/>
        <w:jc w:val="both"/>
        <w:rPr>
          <w:sz w:val="22"/>
          <w:szCs w:val="22"/>
        </w:rPr>
      </w:pPr>
      <w:r>
        <w:rPr>
          <w:sz w:val="22"/>
          <w:szCs w:val="22"/>
        </w:rPr>
        <w:lastRenderedPageBreak/>
        <w:t xml:space="preserve">Tabel 1. </w:t>
      </w:r>
      <w:r>
        <w:rPr>
          <w:sz w:val="22"/>
          <w:szCs w:val="22"/>
        </w:rPr>
        <w:tab/>
        <w:t>Tabel nilai uji Saphiro Wilk dan p-value dari tiap-tiap populasi</w:t>
      </w:r>
    </w:p>
    <w:tbl>
      <w:tblPr>
        <w:tblStyle w:val="a4"/>
        <w:tblW w:w="9300" w:type="dxa"/>
        <w:tblInd w:w="570"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985"/>
        <w:gridCol w:w="4215"/>
      </w:tblGrid>
      <w:tr w:rsidR="009B2E55" w14:paraId="5783A09B" w14:textId="77777777">
        <w:trPr>
          <w:trHeight w:val="300"/>
        </w:trPr>
        <w:tc>
          <w:tcPr>
            <w:tcW w:w="2100" w:type="dxa"/>
            <w:tcBorders>
              <w:top w:val="single" w:sz="8" w:space="0" w:color="000000"/>
              <w:left w:val="nil"/>
              <w:bottom w:val="single" w:sz="4" w:space="0" w:color="000000"/>
              <w:right w:val="nil"/>
            </w:tcBorders>
            <w:shd w:val="clear" w:color="auto" w:fill="auto"/>
            <w:vAlign w:val="bottom"/>
          </w:tcPr>
          <w:p w14:paraId="381C9377" w14:textId="77777777" w:rsidR="009B2E55" w:rsidRDefault="00AB70EB">
            <w:pPr>
              <w:ind w:left="450"/>
              <w:rPr>
                <w:sz w:val="20"/>
                <w:szCs w:val="20"/>
              </w:rPr>
            </w:pPr>
            <w:r>
              <w:rPr>
                <w:sz w:val="20"/>
                <w:szCs w:val="20"/>
              </w:rPr>
              <w:t>Provinsi</w:t>
            </w:r>
          </w:p>
        </w:tc>
        <w:tc>
          <w:tcPr>
            <w:tcW w:w="2985" w:type="dxa"/>
            <w:tcBorders>
              <w:top w:val="single" w:sz="8" w:space="0" w:color="000000"/>
              <w:left w:val="nil"/>
              <w:bottom w:val="single" w:sz="4" w:space="0" w:color="000000"/>
              <w:right w:val="nil"/>
            </w:tcBorders>
            <w:shd w:val="clear" w:color="auto" w:fill="auto"/>
            <w:vAlign w:val="bottom"/>
          </w:tcPr>
          <w:p w14:paraId="3B52006A" w14:textId="77777777" w:rsidR="009B2E55" w:rsidRDefault="00AB70EB">
            <w:pPr>
              <w:ind w:left="450"/>
              <w:rPr>
                <w:sz w:val="20"/>
                <w:szCs w:val="20"/>
              </w:rPr>
            </w:pPr>
            <w:r>
              <w:rPr>
                <w:sz w:val="20"/>
                <w:szCs w:val="20"/>
              </w:rPr>
              <w:t>W</w:t>
            </w:r>
          </w:p>
        </w:tc>
        <w:tc>
          <w:tcPr>
            <w:tcW w:w="4215" w:type="dxa"/>
            <w:tcBorders>
              <w:top w:val="single" w:sz="8" w:space="0" w:color="000000"/>
              <w:left w:val="nil"/>
              <w:bottom w:val="single" w:sz="4" w:space="0" w:color="000000"/>
              <w:right w:val="nil"/>
            </w:tcBorders>
            <w:shd w:val="clear" w:color="auto" w:fill="auto"/>
            <w:vAlign w:val="bottom"/>
          </w:tcPr>
          <w:p w14:paraId="53E6C796" w14:textId="77777777" w:rsidR="009B2E55" w:rsidRDefault="00AB70EB">
            <w:pPr>
              <w:ind w:left="450"/>
              <w:rPr>
                <w:sz w:val="20"/>
                <w:szCs w:val="20"/>
              </w:rPr>
            </w:pPr>
            <w:r>
              <w:rPr>
                <w:sz w:val="20"/>
                <w:szCs w:val="20"/>
              </w:rPr>
              <w:t>p-value</w:t>
            </w:r>
          </w:p>
        </w:tc>
      </w:tr>
      <w:tr w:rsidR="009B2E55" w14:paraId="05B8A31C" w14:textId="77777777">
        <w:trPr>
          <w:trHeight w:val="310"/>
        </w:trPr>
        <w:tc>
          <w:tcPr>
            <w:tcW w:w="2100" w:type="dxa"/>
            <w:tcBorders>
              <w:top w:val="nil"/>
              <w:left w:val="nil"/>
              <w:right w:val="nil"/>
            </w:tcBorders>
            <w:shd w:val="clear" w:color="auto" w:fill="auto"/>
            <w:vAlign w:val="bottom"/>
          </w:tcPr>
          <w:p w14:paraId="6FB52F5A" w14:textId="77777777" w:rsidR="009B2E55" w:rsidRDefault="00AB70EB">
            <w:pPr>
              <w:ind w:left="450"/>
              <w:rPr>
                <w:sz w:val="20"/>
                <w:szCs w:val="20"/>
              </w:rPr>
            </w:pPr>
            <w:r>
              <w:rPr>
                <w:sz w:val="20"/>
                <w:szCs w:val="20"/>
              </w:rPr>
              <w:t xml:space="preserve"> Jawa Timur </w:t>
            </w:r>
          </w:p>
        </w:tc>
        <w:tc>
          <w:tcPr>
            <w:tcW w:w="2985" w:type="dxa"/>
            <w:tcBorders>
              <w:top w:val="nil"/>
              <w:left w:val="nil"/>
              <w:right w:val="nil"/>
            </w:tcBorders>
            <w:shd w:val="clear" w:color="auto" w:fill="auto"/>
            <w:vAlign w:val="bottom"/>
          </w:tcPr>
          <w:p w14:paraId="14E66FC2" w14:textId="77777777" w:rsidR="009B2E55" w:rsidRDefault="00AB70EB">
            <w:pPr>
              <w:ind w:left="450"/>
              <w:rPr>
                <w:sz w:val="20"/>
                <w:szCs w:val="20"/>
              </w:rPr>
            </w:pPr>
            <w:r>
              <w:rPr>
                <w:sz w:val="20"/>
                <w:szCs w:val="20"/>
              </w:rPr>
              <w:t>0,98487</w:t>
            </w:r>
          </w:p>
        </w:tc>
        <w:tc>
          <w:tcPr>
            <w:tcW w:w="4215" w:type="dxa"/>
            <w:tcBorders>
              <w:top w:val="nil"/>
              <w:left w:val="nil"/>
              <w:right w:val="nil"/>
            </w:tcBorders>
            <w:shd w:val="clear" w:color="auto" w:fill="auto"/>
            <w:vAlign w:val="bottom"/>
          </w:tcPr>
          <w:p w14:paraId="675A13DB" w14:textId="77777777" w:rsidR="009B2E55" w:rsidRDefault="00AB70EB">
            <w:pPr>
              <w:ind w:left="450"/>
              <w:rPr>
                <w:sz w:val="20"/>
                <w:szCs w:val="20"/>
              </w:rPr>
            </w:pPr>
            <w:r>
              <w:rPr>
                <w:sz w:val="20"/>
                <w:szCs w:val="20"/>
              </w:rPr>
              <w:t>0,8773</w:t>
            </w:r>
          </w:p>
        </w:tc>
      </w:tr>
      <w:tr w:rsidR="009B2E55" w14:paraId="64C67941" w14:textId="77777777">
        <w:trPr>
          <w:trHeight w:val="700"/>
        </w:trPr>
        <w:tc>
          <w:tcPr>
            <w:tcW w:w="2100" w:type="dxa"/>
            <w:tcBorders>
              <w:top w:val="nil"/>
              <w:left w:val="nil"/>
              <w:right w:val="nil"/>
            </w:tcBorders>
            <w:shd w:val="clear" w:color="auto" w:fill="auto"/>
            <w:vAlign w:val="bottom"/>
          </w:tcPr>
          <w:p w14:paraId="175627E4" w14:textId="77777777" w:rsidR="009B2E55" w:rsidRDefault="00AB70EB">
            <w:pPr>
              <w:ind w:left="450"/>
              <w:rPr>
                <w:sz w:val="20"/>
                <w:szCs w:val="20"/>
              </w:rPr>
            </w:pPr>
            <w:r>
              <w:rPr>
                <w:sz w:val="20"/>
                <w:szCs w:val="20"/>
              </w:rPr>
              <w:t xml:space="preserve">Jawa Barat </w:t>
            </w:r>
          </w:p>
        </w:tc>
        <w:tc>
          <w:tcPr>
            <w:tcW w:w="2985" w:type="dxa"/>
            <w:tcBorders>
              <w:top w:val="nil"/>
              <w:left w:val="nil"/>
              <w:right w:val="nil"/>
            </w:tcBorders>
            <w:shd w:val="clear" w:color="auto" w:fill="auto"/>
            <w:vAlign w:val="bottom"/>
          </w:tcPr>
          <w:p w14:paraId="5F450A93" w14:textId="77777777" w:rsidR="009B2E55" w:rsidRDefault="00AB70EB">
            <w:pPr>
              <w:ind w:left="450"/>
              <w:rPr>
                <w:sz w:val="20"/>
                <w:szCs w:val="20"/>
              </w:rPr>
            </w:pPr>
            <w:r>
              <w:rPr>
                <w:sz w:val="20"/>
                <w:szCs w:val="20"/>
              </w:rPr>
              <w:t>0,91748</w:t>
            </w:r>
          </w:p>
        </w:tc>
        <w:tc>
          <w:tcPr>
            <w:tcW w:w="4215" w:type="dxa"/>
            <w:tcBorders>
              <w:top w:val="nil"/>
              <w:left w:val="nil"/>
              <w:right w:val="nil"/>
            </w:tcBorders>
            <w:shd w:val="clear" w:color="auto" w:fill="auto"/>
            <w:vAlign w:val="bottom"/>
          </w:tcPr>
          <w:p w14:paraId="76B3A4CE" w14:textId="77777777" w:rsidR="009B2E55" w:rsidRDefault="00AB70EB">
            <w:pPr>
              <w:ind w:left="450"/>
              <w:rPr>
                <w:sz w:val="20"/>
                <w:szCs w:val="20"/>
              </w:rPr>
            </w:pPr>
            <w:r>
              <w:rPr>
                <w:sz w:val="20"/>
                <w:szCs w:val="20"/>
              </w:rPr>
              <w:t>0,03435</w:t>
            </w:r>
          </w:p>
        </w:tc>
      </w:tr>
      <w:tr w:rsidR="009B2E55" w14:paraId="419FB3E5" w14:textId="77777777">
        <w:trPr>
          <w:trHeight w:val="710"/>
        </w:trPr>
        <w:tc>
          <w:tcPr>
            <w:tcW w:w="2100" w:type="dxa"/>
            <w:tcBorders>
              <w:top w:val="nil"/>
              <w:left w:val="nil"/>
              <w:bottom w:val="single" w:sz="8" w:space="0" w:color="000000"/>
              <w:right w:val="nil"/>
            </w:tcBorders>
            <w:shd w:val="clear" w:color="auto" w:fill="auto"/>
            <w:vAlign w:val="bottom"/>
          </w:tcPr>
          <w:p w14:paraId="2D26ADB9" w14:textId="77777777" w:rsidR="009B2E55" w:rsidRDefault="00AB70EB">
            <w:pPr>
              <w:ind w:left="450"/>
              <w:rPr>
                <w:sz w:val="20"/>
                <w:szCs w:val="20"/>
              </w:rPr>
            </w:pPr>
            <w:r>
              <w:rPr>
                <w:sz w:val="20"/>
                <w:szCs w:val="20"/>
              </w:rPr>
              <w:t>D.I. Yogyakarta</w:t>
            </w:r>
          </w:p>
        </w:tc>
        <w:tc>
          <w:tcPr>
            <w:tcW w:w="2985" w:type="dxa"/>
            <w:tcBorders>
              <w:top w:val="nil"/>
              <w:left w:val="nil"/>
              <w:bottom w:val="single" w:sz="8" w:space="0" w:color="000000"/>
              <w:right w:val="nil"/>
            </w:tcBorders>
            <w:shd w:val="clear" w:color="auto" w:fill="auto"/>
            <w:vAlign w:val="bottom"/>
          </w:tcPr>
          <w:p w14:paraId="3FE35664" w14:textId="77777777" w:rsidR="009B2E55" w:rsidRDefault="00AB70EB">
            <w:pPr>
              <w:ind w:left="450"/>
              <w:rPr>
                <w:sz w:val="20"/>
                <w:szCs w:val="20"/>
              </w:rPr>
            </w:pPr>
            <w:r>
              <w:rPr>
                <w:sz w:val="20"/>
                <w:szCs w:val="20"/>
              </w:rPr>
              <w:t>0,846</w:t>
            </w:r>
          </w:p>
        </w:tc>
        <w:tc>
          <w:tcPr>
            <w:tcW w:w="4215" w:type="dxa"/>
            <w:tcBorders>
              <w:top w:val="nil"/>
              <w:left w:val="nil"/>
              <w:bottom w:val="single" w:sz="8" w:space="0" w:color="000000"/>
              <w:right w:val="nil"/>
            </w:tcBorders>
            <w:shd w:val="clear" w:color="auto" w:fill="auto"/>
            <w:vAlign w:val="bottom"/>
          </w:tcPr>
          <w:p w14:paraId="0F761F69" w14:textId="77777777" w:rsidR="009B2E55" w:rsidRDefault="00AB70EB">
            <w:pPr>
              <w:ind w:left="450"/>
              <w:rPr>
                <w:sz w:val="20"/>
                <w:szCs w:val="20"/>
              </w:rPr>
            </w:pPr>
            <w:r>
              <w:rPr>
                <w:sz w:val="20"/>
                <w:szCs w:val="20"/>
              </w:rPr>
              <w:t>0,1822</w:t>
            </w:r>
          </w:p>
        </w:tc>
      </w:tr>
    </w:tbl>
    <w:p w14:paraId="26C52D3D" w14:textId="77777777" w:rsidR="009B2E55" w:rsidRDefault="009B2E55">
      <w:pPr>
        <w:jc w:val="both"/>
        <w:rPr>
          <w:sz w:val="22"/>
          <w:szCs w:val="22"/>
        </w:rPr>
      </w:pPr>
    </w:p>
    <w:p w14:paraId="756536DA" w14:textId="77777777" w:rsidR="009B2E55" w:rsidRDefault="00AB70EB">
      <w:pPr>
        <w:ind w:left="450" w:firstLine="450"/>
        <w:jc w:val="both"/>
        <w:rPr>
          <w:sz w:val="22"/>
          <w:szCs w:val="22"/>
        </w:rPr>
      </w:pPr>
      <w:r>
        <w:rPr>
          <w:sz w:val="22"/>
          <w:szCs w:val="22"/>
        </w:rPr>
        <w:t>Berdasarkan informasi Tabel 1, dapat dilihat bahwa p-value dari populasi Provinsi Jawa Timur, Jawa Barat, dan D.I. Yogyakarta, semuanya bernilai lebih dari alpha yang ditentukan, yaitu 0,01. Semuanya gagal untuk menolak hipotesis awal yang berarti populasi dari ketiga provinsi tersebut berdistribusi normal. Dengan demikian, pengujian dapat dilanjutkan ke tahap yang berikutnya yaitu pengujian asumsi kesamaan matriks kovarian.</w:t>
      </w:r>
    </w:p>
    <w:p w14:paraId="46F64427" w14:textId="77777777" w:rsidR="009B2E55" w:rsidRDefault="009B2E55">
      <w:pPr>
        <w:ind w:firstLine="432"/>
        <w:jc w:val="both"/>
        <w:rPr>
          <w:sz w:val="22"/>
          <w:szCs w:val="22"/>
        </w:rPr>
      </w:pPr>
    </w:p>
    <w:p w14:paraId="70A168DA" w14:textId="77777777" w:rsidR="009B2E55" w:rsidRDefault="00AB70EB">
      <w:pPr>
        <w:ind w:firstLine="432"/>
        <w:jc w:val="both"/>
        <w:rPr>
          <w:sz w:val="22"/>
          <w:szCs w:val="22"/>
        </w:rPr>
      </w:pPr>
      <w:r>
        <w:rPr>
          <w:sz w:val="22"/>
          <w:szCs w:val="22"/>
        </w:rPr>
        <w:t>Pengujian asumsi kesamaan matriks kovarian :</w:t>
      </w:r>
    </w:p>
    <w:p w14:paraId="7B40677B" w14:textId="77777777" w:rsidR="009B2E55" w:rsidRDefault="00034B41">
      <w:pPr>
        <w:ind w:firstLine="432"/>
        <w:jc w:val="both"/>
        <w:rPr>
          <w:sz w:val="22"/>
          <w:szCs w:val="22"/>
        </w:rPr>
      </w:pPr>
      <m:oMath>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0</m:t>
            </m:r>
          </m:sub>
        </m:sSub>
        <m:r>
          <w:rPr>
            <w:rFonts w:ascii="Cambria Math" w:hAnsi="Cambria Math"/>
            <w:sz w:val="22"/>
            <w:szCs w:val="22"/>
          </w:rPr>
          <m:t xml:space="preserve"> </m:t>
        </m:r>
      </m:oMath>
      <w:r w:rsidR="00AB70EB">
        <w:rPr>
          <w:sz w:val="22"/>
          <w:szCs w:val="22"/>
        </w:rPr>
        <w:t>:</w:t>
      </w:r>
      <m:oMath>
        <m:sSub>
          <m:sSubPr>
            <m:ctrlPr>
              <w:rPr>
                <w:rFonts w:ascii="Cambria Math" w:hAnsi="Cambria Math"/>
                <w:sz w:val="22"/>
                <w:szCs w:val="22"/>
              </w:rPr>
            </m:ctrlPr>
          </m:sSubPr>
          <m:e>
            <m:r>
              <w:rPr>
                <w:rFonts w:ascii="Cambria Math" w:hAnsi="Cambria Math"/>
                <w:sz w:val="22"/>
                <w:szCs w:val="22"/>
              </w:rPr>
              <m:t xml:space="preserve"> Σ</m:t>
            </m:r>
          </m:e>
          <m:sub>
            <m:r>
              <w:rPr>
                <w:rFonts w:ascii="Cambria Math" w:hAnsi="Cambria Math"/>
                <w:sz w:val="22"/>
                <w:szCs w:val="22"/>
              </w:rPr>
              <m:t>1</m:t>
            </m:r>
          </m:sub>
        </m:sSub>
        <m: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Σ</m:t>
            </m:r>
          </m:e>
          <m:sub>
            <m:r>
              <w:rPr>
                <w:rFonts w:ascii="Cambria Math" w:hAnsi="Cambria Math"/>
                <w:sz w:val="22"/>
                <w:szCs w:val="22"/>
              </w:rPr>
              <m:t>2</m:t>
            </m:r>
          </m:sub>
        </m:sSub>
        <m:r>
          <w:rPr>
            <w:rFonts w:ascii="Cambria Math" w:hAnsi="Cambria Math"/>
            <w:sz w:val="22"/>
            <w:szCs w:val="22"/>
          </w:rPr>
          <m:t xml:space="preserve"> = </m:t>
        </m:r>
        <m:sSub>
          <m:sSubPr>
            <m:ctrlPr>
              <w:rPr>
                <w:rFonts w:ascii="Cambria Math" w:hAnsi="Cambria Math"/>
                <w:sz w:val="22"/>
                <w:szCs w:val="22"/>
              </w:rPr>
            </m:ctrlPr>
          </m:sSubPr>
          <m:e>
            <m:r>
              <w:rPr>
                <w:rFonts w:ascii="Cambria Math" w:hAnsi="Cambria Math"/>
                <w:sz w:val="22"/>
                <w:szCs w:val="22"/>
              </w:rPr>
              <m:t>Σ</m:t>
            </m:r>
          </m:e>
          <m:sub>
            <m:r>
              <w:rPr>
                <w:rFonts w:ascii="Cambria Math" w:hAnsi="Cambria Math"/>
                <w:sz w:val="22"/>
                <w:szCs w:val="22"/>
              </w:rPr>
              <m:t>3</m:t>
            </m:r>
          </m:sub>
        </m:sSub>
      </m:oMath>
    </w:p>
    <w:p w14:paraId="70CED649" w14:textId="77777777" w:rsidR="009B2E55" w:rsidRDefault="00034B41">
      <w:pPr>
        <w:ind w:firstLine="432"/>
        <w:jc w:val="both"/>
        <w:rPr>
          <w:highlight w:val="white"/>
        </w:rPr>
      </w:pPr>
      <m:oMath>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1</m:t>
            </m:r>
          </m:sub>
        </m:sSub>
      </m:oMath>
      <w:r w:rsidR="00AB70EB">
        <w:rPr>
          <w:sz w:val="22"/>
          <w:szCs w:val="22"/>
        </w:rPr>
        <w:t xml:space="preserve">: Minimal ada satu </w:t>
      </w:r>
      <m:oMath>
        <m:r>
          <w:rPr>
            <w:rFonts w:ascii="Cambria Math" w:hAnsi="Cambria Math"/>
          </w:rPr>
          <m:t>Σ</m:t>
        </m:r>
        <m:r>
          <w:rPr>
            <w:rFonts w:ascii="Cambria Math" w:hAnsi="Cambria Math"/>
            <w:sz w:val="15"/>
            <w:szCs w:val="15"/>
            <w:highlight w:val="white"/>
          </w:rPr>
          <m:t>i</m:t>
        </m:r>
        <m:r>
          <w:rPr>
            <w:rFonts w:ascii="Cambria Math" w:hAnsi="Cambria Math"/>
            <w:highlight w:val="white"/>
          </w:rPr>
          <m:t> ≠ Σ,</m:t>
        </m:r>
      </m:oMath>
      <w:r w:rsidR="00AB70EB">
        <w:rPr>
          <w:highlight w:val="white"/>
        </w:rPr>
        <w:t xml:space="preserve"> dimana </w:t>
      </w:r>
      <m:oMath>
        <m:r>
          <w:rPr>
            <w:rFonts w:ascii="Cambria Math" w:hAnsi="Cambria Math"/>
            <w:highlight w:val="white"/>
          </w:rPr>
          <m:t>i = 1,2,3</m:t>
        </m:r>
      </m:oMath>
    </w:p>
    <w:p w14:paraId="49FFB16B" w14:textId="77777777" w:rsidR="009B2E55" w:rsidRDefault="00AB70EB" w:rsidP="0027544B">
      <w:pPr>
        <w:ind w:right="8076" w:firstLine="432"/>
        <w:jc w:val="both"/>
        <w:rPr>
          <w:sz w:val="22"/>
          <w:szCs w:val="22"/>
        </w:rPr>
      </w:pPr>
      <m:oMathPara>
        <m:oMath>
          <m:r>
            <w:rPr>
              <w:rFonts w:ascii="Cambria Math" w:hAnsi="Cambria Math"/>
              <w:sz w:val="22"/>
              <w:szCs w:val="22"/>
            </w:rPr>
            <m:t>α=0,01</m:t>
          </m:r>
        </m:oMath>
      </m:oMathPara>
    </w:p>
    <w:p w14:paraId="71463C4C" w14:textId="729CBD76" w:rsidR="009B2E55" w:rsidRDefault="009B2E55">
      <w:pPr>
        <w:ind w:firstLine="432"/>
        <w:jc w:val="both"/>
        <w:rPr>
          <w:sz w:val="22"/>
          <w:szCs w:val="22"/>
        </w:rPr>
      </w:pPr>
    </w:p>
    <w:p w14:paraId="021D44E4" w14:textId="2DE9B8C2" w:rsidR="00206EB3" w:rsidRDefault="00206EB3" w:rsidP="00892B22">
      <w:pPr>
        <w:ind w:firstLine="432"/>
        <w:jc w:val="center"/>
        <w:rPr>
          <w:sz w:val="22"/>
          <w:szCs w:val="22"/>
        </w:rPr>
      </w:pPr>
      <w:r>
        <w:rPr>
          <w:noProof/>
        </w:rPr>
        <w:drawing>
          <wp:inline distT="0" distB="0" distL="0" distR="0" wp14:anchorId="5175E0FA" wp14:editId="1128E00B">
            <wp:extent cx="4778375" cy="892728"/>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l="5703" t="52574" r="54709" b="34286"/>
                    <a:stretch/>
                  </pic:blipFill>
                  <pic:spPr bwMode="auto">
                    <a:xfrm>
                      <a:off x="0" y="0"/>
                      <a:ext cx="4795329" cy="895895"/>
                    </a:xfrm>
                    <a:prstGeom prst="rect">
                      <a:avLst/>
                    </a:prstGeom>
                    <a:noFill/>
                    <a:ln>
                      <a:noFill/>
                    </a:ln>
                    <a:extLst>
                      <a:ext uri="{53640926-AAD7-44D8-BBD7-CCE9431645EC}">
                        <a14:shadowObscured xmlns:a14="http://schemas.microsoft.com/office/drawing/2010/main"/>
                      </a:ext>
                    </a:extLst>
                  </pic:spPr>
                </pic:pic>
              </a:graphicData>
            </a:graphic>
          </wp:inline>
        </w:drawing>
      </w:r>
    </w:p>
    <w:p w14:paraId="7A61BAB9" w14:textId="11B1FD86" w:rsidR="00892B22" w:rsidRDefault="00892B22" w:rsidP="00892B22">
      <w:pPr>
        <w:ind w:firstLine="432"/>
        <w:jc w:val="center"/>
        <w:rPr>
          <w:sz w:val="22"/>
          <w:szCs w:val="22"/>
        </w:rPr>
      </w:pPr>
      <w:r>
        <w:rPr>
          <w:sz w:val="22"/>
          <w:szCs w:val="22"/>
        </w:rPr>
        <w:t xml:space="preserve">Gambar </w:t>
      </w:r>
      <w:r>
        <w:rPr>
          <w:sz w:val="22"/>
          <w:szCs w:val="22"/>
        </w:rPr>
        <w:t>2</w:t>
      </w:r>
      <w:r>
        <w:rPr>
          <w:sz w:val="22"/>
          <w:szCs w:val="22"/>
        </w:rPr>
        <w:t xml:space="preserve">. </w:t>
      </w:r>
      <w:r>
        <w:rPr>
          <w:sz w:val="22"/>
          <w:szCs w:val="22"/>
        </w:rPr>
        <w:t>Hasil Uji Kesamaan Varians</w:t>
      </w:r>
    </w:p>
    <w:p w14:paraId="1015FEF9" w14:textId="77777777" w:rsidR="00892B22" w:rsidRDefault="00892B22">
      <w:pPr>
        <w:ind w:firstLine="432"/>
        <w:jc w:val="both"/>
        <w:rPr>
          <w:sz w:val="22"/>
          <w:szCs w:val="22"/>
        </w:rPr>
      </w:pPr>
    </w:p>
    <w:p w14:paraId="2E841510" w14:textId="77777777" w:rsidR="009B2E55" w:rsidRDefault="00AB70EB">
      <w:pPr>
        <w:ind w:left="450" w:firstLine="435"/>
        <w:jc w:val="both"/>
        <w:rPr>
          <w:sz w:val="22"/>
          <w:szCs w:val="22"/>
        </w:rPr>
      </w:pPr>
      <w:r>
        <w:rPr>
          <w:sz w:val="22"/>
          <w:szCs w:val="22"/>
        </w:rPr>
        <w:t xml:space="preserve">Setelah dilakukan penghitungan, didapatkan nilai </w:t>
      </w:r>
      <w:r>
        <w:rPr>
          <w:i/>
          <w:sz w:val="22"/>
          <w:szCs w:val="22"/>
        </w:rPr>
        <w:t>Chi-square</w:t>
      </w:r>
      <w:r>
        <w:rPr>
          <w:sz w:val="22"/>
          <w:szCs w:val="22"/>
        </w:rPr>
        <w:t xml:space="preserve">-nya adalah 11,136 dengan derajat bebas 6 serta didapat </w:t>
      </w:r>
      <w:r>
        <w:rPr>
          <w:i/>
          <w:sz w:val="22"/>
          <w:szCs w:val="22"/>
        </w:rPr>
        <w:t>p-value</w:t>
      </w:r>
      <w:r>
        <w:rPr>
          <w:sz w:val="22"/>
          <w:szCs w:val="22"/>
        </w:rPr>
        <w:t xml:space="preserve">-nya sebesar 0,08427 yang mana </w:t>
      </w:r>
      <w:r>
        <w:rPr>
          <w:i/>
          <w:sz w:val="22"/>
          <w:szCs w:val="22"/>
        </w:rPr>
        <w:t>p-value</w:t>
      </w:r>
      <w:r>
        <w:rPr>
          <w:sz w:val="22"/>
          <w:szCs w:val="22"/>
        </w:rPr>
        <w:t xml:space="preserve"> tersebut bernilai lebih besar daripada nilai alpha yang telah ditentukan, yaitu 0,01. Disimpulkan bahwa hipotesis awal gagal untuk ditolak. Dengan demikian, pengujian dapat dilanjutkan ke tahap uji Manova.</w:t>
      </w:r>
    </w:p>
    <w:p w14:paraId="1C28DE8E" w14:textId="77777777" w:rsidR="009B2E55" w:rsidRDefault="009B2E55">
      <w:pPr>
        <w:ind w:firstLine="432"/>
        <w:jc w:val="both"/>
        <w:rPr>
          <w:sz w:val="22"/>
          <w:szCs w:val="22"/>
        </w:rPr>
      </w:pPr>
    </w:p>
    <w:p w14:paraId="66EEBBF5" w14:textId="77777777" w:rsidR="009B2E55" w:rsidRDefault="00AB70EB">
      <w:pPr>
        <w:ind w:firstLine="432"/>
        <w:jc w:val="both"/>
        <w:rPr>
          <w:sz w:val="22"/>
          <w:szCs w:val="22"/>
        </w:rPr>
      </w:pPr>
      <w:r>
        <w:rPr>
          <w:sz w:val="22"/>
          <w:szCs w:val="22"/>
        </w:rPr>
        <w:t>Pengujian hipotesis :</w:t>
      </w:r>
    </w:p>
    <w:p w14:paraId="6FADA60E" w14:textId="77777777" w:rsidR="009B2E55" w:rsidRDefault="00034B41">
      <w:pPr>
        <w:ind w:firstLine="432"/>
        <w:jc w:val="both"/>
        <w:rPr>
          <w:i/>
          <w:sz w:val="22"/>
          <w:szCs w:val="22"/>
        </w:rPr>
      </w:pPr>
      <m:oMath>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0</m:t>
            </m:r>
          </m:sub>
        </m:sSub>
      </m:oMath>
      <w:r w:rsidR="00AB70EB">
        <w:rPr>
          <w:sz w:val="22"/>
          <w:szCs w:val="22"/>
        </w:rPr>
        <w:t>:</w:t>
      </w:r>
      <m:oMath>
        <m:sSub>
          <m:sSubPr>
            <m:ctrlPr>
              <w:rPr>
                <w:rFonts w:ascii="Cambria Math" w:hAnsi="Cambria Math"/>
                <w:sz w:val="22"/>
                <w:szCs w:val="22"/>
              </w:rPr>
            </m:ctrlPr>
          </m:sSubPr>
          <m:e>
            <m:r>
              <w:rPr>
                <w:rFonts w:ascii="Cambria Math" w:hAnsi="Cambria Math"/>
                <w:sz w:val="22"/>
                <w:szCs w:val="22"/>
              </w:rPr>
              <m:t xml:space="preserve"> τ</m:t>
            </m:r>
          </m:e>
          <m:sub>
            <m:r>
              <w:rPr>
                <w:rFonts w:ascii="Cambria Math" w:hAnsi="Cambria Math"/>
                <w:sz w:val="22"/>
                <w:szCs w:val="22"/>
              </w:rPr>
              <m:t>1</m:t>
            </m:r>
          </m:sub>
        </m:sSub>
        <m: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τ</m:t>
            </m:r>
          </m:e>
          <m:sub>
            <m:r>
              <w:rPr>
                <w:rFonts w:ascii="Cambria Math" w:hAnsi="Cambria Math"/>
                <w:sz w:val="22"/>
                <w:szCs w:val="22"/>
              </w:rPr>
              <m:t>2</m:t>
            </m:r>
          </m:sub>
        </m:sSub>
        <m:r>
          <w:rPr>
            <w:rFonts w:ascii="Cambria Math" w:hAnsi="Cambria Math"/>
            <w:sz w:val="22"/>
            <w:szCs w:val="22"/>
          </w:rPr>
          <m:t xml:space="preserve"> = </m:t>
        </m:r>
        <m:sSub>
          <m:sSubPr>
            <m:ctrlPr>
              <w:rPr>
                <w:rFonts w:ascii="Cambria Math" w:hAnsi="Cambria Math"/>
                <w:sz w:val="22"/>
                <w:szCs w:val="22"/>
              </w:rPr>
            </m:ctrlPr>
          </m:sSubPr>
          <m:e>
            <m:r>
              <w:rPr>
                <w:rFonts w:ascii="Cambria Math" w:hAnsi="Cambria Math"/>
                <w:sz w:val="22"/>
                <w:szCs w:val="22"/>
              </w:rPr>
              <m:t>τ</m:t>
            </m:r>
          </m:e>
          <m:sub>
            <m:r>
              <w:rPr>
                <w:rFonts w:ascii="Cambria Math" w:hAnsi="Cambria Math"/>
                <w:sz w:val="22"/>
                <w:szCs w:val="22"/>
              </w:rPr>
              <m:t>3</m:t>
            </m:r>
          </m:sub>
        </m:sSub>
      </m:oMath>
      <w:r w:rsidR="00AB70EB">
        <w:rPr>
          <w:sz w:val="22"/>
          <w:szCs w:val="22"/>
        </w:rPr>
        <w:t xml:space="preserve">  ( Tidak terdapat perbedaan rata-rata antara populasi satu,dua dan tiga</w:t>
      </w:r>
    </w:p>
    <w:p w14:paraId="73C8512E" w14:textId="77777777" w:rsidR="009B2E55" w:rsidRDefault="00034B41">
      <w:pPr>
        <w:ind w:firstLine="432"/>
        <w:jc w:val="both"/>
        <w:rPr>
          <w:sz w:val="22"/>
          <w:szCs w:val="22"/>
        </w:rPr>
      </w:pPr>
      <m:oMath>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1</m:t>
            </m:r>
          </m:sub>
        </m:sSub>
      </m:oMath>
      <w:r w:rsidR="00AB70EB">
        <w:rPr>
          <w:sz w:val="22"/>
          <w:szCs w:val="22"/>
        </w:rPr>
        <w:t>:Minimal ada satu populasi yang berbeda secara rata-rata dengan populasi lainnya.</w:t>
      </w:r>
    </w:p>
    <w:p w14:paraId="66DF59B4" w14:textId="77777777" w:rsidR="009B2E55" w:rsidRDefault="009B2E55">
      <w:pPr>
        <w:ind w:firstLine="432"/>
        <w:jc w:val="both"/>
        <w:rPr>
          <w:sz w:val="22"/>
          <w:szCs w:val="22"/>
        </w:rPr>
      </w:pPr>
    </w:p>
    <w:p w14:paraId="2181424F" w14:textId="77777777" w:rsidR="009B2E55" w:rsidRDefault="00AB70EB">
      <w:pPr>
        <w:spacing w:before="120" w:after="60"/>
        <w:ind w:left="1260" w:hanging="810"/>
        <w:jc w:val="both"/>
        <w:rPr>
          <w:sz w:val="22"/>
          <w:szCs w:val="22"/>
        </w:rPr>
      </w:pPr>
      <w:r>
        <w:rPr>
          <w:sz w:val="22"/>
          <w:szCs w:val="22"/>
        </w:rPr>
        <w:t xml:space="preserve">Tabel 2. </w:t>
      </w:r>
      <w:r>
        <w:rPr>
          <w:sz w:val="22"/>
          <w:szCs w:val="22"/>
        </w:rPr>
        <w:tab/>
        <w:t>Tabel Manova dengan populasi provinsi  Jawa Timur, Jawa Barat dan DI Yogyakarta dan variabel IPM dan gini rasio.</w:t>
      </w:r>
    </w:p>
    <w:tbl>
      <w:tblPr>
        <w:tblStyle w:val="a5"/>
        <w:tblW w:w="9285" w:type="dxa"/>
        <w:tblInd w:w="585"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885"/>
        <w:gridCol w:w="2340"/>
      </w:tblGrid>
      <w:tr w:rsidR="009B2E55" w14:paraId="217D8826" w14:textId="77777777">
        <w:trPr>
          <w:trHeight w:val="300"/>
        </w:trPr>
        <w:tc>
          <w:tcPr>
            <w:tcW w:w="3060" w:type="dxa"/>
            <w:tcBorders>
              <w:top w:val="single" w:sz="8" w:space="0" w:color="000000"/>
              <w:left w:val="nil"/>
              <w:bottom w:val="single" w:sz="4" w:space="0" w:color="000000"/>
              <w:right w:val="nil"/>
            </w:tcBorders>
            <w:shd w:val="clear" w:color="auto" w:fill="auto"/>
            <w:vAlign w:val="bottom"/>
          </w:tcPr>
          <w:p w14:paraId="76D98419" w14:textId="77777777" w:rsidR="009B2E55" w:rsidRDefault="00AB70EB">
            <w:pPr>
              <w:ind w:left="450"/>
              <w:jc w:val="center"/>
              <w:rPr>
                <w:sz w:val="20"/>
                <w:szCs w:val="20"/>
              </w:rPr>
            </w:pPr>
            <w:r>
              <w:rPr>
                <w:sz w:val="20"/>
                <w:szCs w:val="20"/>
              </w:rPr>
              <w:t>Source of variation</w:t>
            </w:r>
          </w:p>
        </w:tc>
        <w:tc>
          <w:tcPr>
            <w:tcW w:w="3885" w:type="dxa"/>
            <w:tcBorders>
              <w:top w:val="single" w:sz="8" w:space="0" w:color="000000"/>
              <w:left w:val="nil"/>
              <w:bottom w:val="single" w:sz="4" w:space="0" w:color="000000"/>
              <w:right w:val="nil"/>
            </w:tcBorders>
            <w:shd w:val="clear" w:color="auto" w:fill="auto"/>
            <w:vAlign w:val="bottom"/>
          </w:tcPr>
          <w:p w14:paraId="11ADA427" w14:textId="77777777" w:rsidR="009B2E55" w:rsidRDefault="00AB70EB">
            <w:pPr>
              <w:ind w:left="450"/>
              <w:jc w:val="center"/>
              <w:rPr>
                <w:sz w:val="20"/>
                <w:szCs w:val="20"/>
              </w:rPr>
            </w:pPr>
            <w:r>
              <w:rPr>
                <w:sz w:val="20"/>
                <w:szCs w:val="20"/>
              </w:rPr>
              <w:t>Sum of squares (SS)</w:t>
            </w:r>
          </w:p>
        </w:tc>
        <w:tc>
          <w:tcPr>
            <w:tcW w:w="2340" w:type="dxa"/>
            <w:tcBorders>
              <w:top w:val="single" w:sz="8" w:space="0" w:color="000000"/>
              <w:left w:val="nil"/>
              <w:bottom w:val="single" w:sz="4" w:space="0" w:color="000000"/>
              <w:right w:val="nil"/>
            </w:tcBorders>
            <w:shd w:val="clear" w:color="auto" w:fill="auto"/>
            <w:vAlign w:val="bottom"/>
          </w:tcPr>
          <w:p w14:paraId="4D7F2364" w14:textId="77777777" w:rsidR="009B2E55" w:rsidRDefault="00AB70EB">
            <w:pPr>
              <w:ind w:left="90"/>
              <w:jc w:val="center"/>
              <w:rPr>
                <w:sz w:val="20"/>
                <w:szCs w:val="20"/>
              </w:rPr>
            </w:pPr>
            <w:r>
              <w:rPr>
                <w:sz w:val="20"/>
                <w:szCs w:val="20"/>
              </w:rPr>
              <w:t>df</w:t>
            </w:r>
          </w:p>
        </w:tc>
      </w:tr>
      <w:tr w:rsidR="009B2E55" w14:paraId="02687E16" w14:textId="77777777">
        <w:trPr>
          <w:trHeight w:val="310"/>
        </w:trPr>
        <w:tc>
          <w:tcPr>
            <w:tcW w:w="3060" w:type="dxa"/>
            <w:tcBorders>
              <w:top w:val="nil"/>
              <w:left w:val="nil"/>
              <w:right w:val="nil"/>
            </w:tcBorders>
            <w:shd w:val="clear" w:color="auto" w:fill="auto"/>
            <w:vAlign w:val="bottom"/>
          </w:tcPr>
          <w:p w14:paraId="67DCE4F5" w14:textId="77777777" w:rsidR="009B2E55" w:rsidRDefault="00AB70EB">
            <w:pPr>
              <w:ind w:left="450"/>
              <w:rPr>
                <w:sz w:val="20"/>
                <w:szCs w:val="20"/>
              </w:rPr>
            </w:pPr>
            <w:r>
              <w:rPr>
                <w:sz w:val="20"/>
                <w:szCs w:val="20"/>
              </w:rPr>
              <w:t xml:space="preserve">Treatments (Between) </w:t>
            </w:r>
          </w:p>
        </w:tc>
        <w:tc>
          <w:tcPr>
            <w:tcW w:w="3885" w:type="dxa"/>
            <w:tcBorders>
              <w:top w:val="nil"/>
              <w:left w:val="nil"/>
              <w:right w:val="nil"/>
            </w:tcBorders>
            <w:shd w:val="clear" w:color="auto" w:fill="auto"/>
            <w:vAlign w:val="bottom"/>
          </w:tcPr>
          <w:p w14:paraId="20486BF7" w14:textId="6F78B46E" w:rsidR="009B2E55" w:rsidRDefault="00034B41">
            <w:pPr>
              <w:ind w:left="450"/>
              <w:jc w:val="both"/>
            </w:pPr>
            <m:oMathPara>
              <m:oMath>
                <m:d>
                  <m:dPr>
                    <m:begChr m:val="["/>
                    <m:endChr m:val="]"/>
                    <m:ctrlPr>
                      <w:rPr>
                        <w:rFonts w:ascii="Cambria Math" w:hAnsi="Cambria Math"/>
                      </w:rPr>
                    </m:ctrlPr>
                  </m:dPr>
                  <m:e>
                    <m:m>
                      <m:mPr>
                        <m:mcs>
                          <m:mc>
                            <m:mcPr>
                              <m:count m:val="2"/>
                              <m:mcJc m:val="center"/>
                            </m:mcPr>
                          </m:mc>
                        </m:mcs>
                        <m:ctrlPr>
                          <w:rPr>
                            <w:rFonts w:ascii="Cambria Math" w:hAnsi="Cambria Math"/>
                            <w:i/>
                            <w:sz w:val="20"/>
                            <w:szCs w:val="20"/>
                          </w:rPr>
                        </m:ctrlPr>
                      </m:mPr>
                      <m:mr>
                        <m:e>
                          <m:r>
                            <w:rPr>
                              <w:rFonts w:ascii="Cambria Math" w:hAnsi="Cambria Math"/>
                              <w:sz w:val="20"/>
                              <w:szCs w:val="20"/>
                            </w:rPr>
                            <m:t>0,0386</m:t>
                          </m:r>
                          <m:r>
                            <w:rPr>
                              <w:rFonts w:ascii="Cambria Math" w:hAnsi="Cambria Math"/>
                            </w:rPr>
                            <m:t xml:space="preserve">   </m:t>
                          </m:r>
                        </m:e>
                        <m:e>
                          <m:r>
                            <w:rPr>
                              <w:rFonts w:ascii="Cambria Math" w:hAnsi="Cambria Math"/>
                              <w:sz w:val="20"/>
                              <w:szCs w:val="20"/>
                            </w:rPr>
                            <m:t>1,5952</m:t>
                          </m:r>
                        </m:e>
                      </m:mr>
                      <m:mr>
                        <m:e>
                          <m:r>
                            <w:rPr>
                              <w:rFonts w:ascii="Cambria Math" w:hAnsi="Cambria Math"/>
                              <w:sz w:val="20"/>
                              <w:szCs w:val="20"/>
                            </w:rPr>
                            <m:t>1,5952</m:t>
                          </m:r>
                        </m:e>
                        <m:e>
                          <m:r>
                            <w:rPr>
                              <w:rFonts w:ascii="Cambria Math" w:hAnsi="Cambria Math"/>
                              <w:sz w:val="20"/>
                              <w:szCs w:val="20"/>
                            </w:rPr>
                            <m:t>239,2250</m:t>
                          </m:r>
                        </m:e>
                      </m:mr>
                    </m:m>
                    <m:r>
                      <w:rPr>
                        <w:rFonts w:ascii="Cambria Math" w:hAnsi="Cambria Math"/>
                      </w:rPr>
                      <m:t xml:space="preserve"> </m:t>
                    </m:r>
                  </m:e>
                </m:d>
              </m:oMath>
            </m:oMathPara>
          </w:p>
        </w:tc>
        <w:tc>
          <w:tcPr>
            <w:tcW w:w="2340" w:type="dxa"/>
            <w:tcBorders>
              <w:top w:val="nil"/>
              <w:left w:val="nil"/>
              <w:right w:val="nil"/>
            </w:tcBorders>
            <w:shd w:val="clear" w:color="auto" w:fill="auto"/>
            <w:vAlign w:val="bottom"/>
          </w:tcPr>
          <w:p w14:paraId="156297DC" w14:textId="77777777" w:rsidR="009B2E55" w:rsidRDefault="00AB70EB">
            <w:pPr>
              <w:ind w:left="90"/>
              <w:jc w:val="center"/>
              <w:rPr>
                <w:sz w:val="20"/>
                <w:szCs w:val="20"/>
              </w:rPr>
            </w:pPr>
            <w:r>
              <w:rPr>
                <w:sz w:val="20"/>
                <w:szCs w:val="20"/>
              </w:rPr>
              <w:t>2</w:t>
            </w:r>
          </w:p>
        </w:tc>
      </w:tr>
      <w:tr w:rsidR="009B2E55" w14:paraId="5935082E" w14:textId="77777777">
        <w:trPr>
          <w:trHeight w:val="700"/>
        </w:trPr>
        <w:tc>
          <w:tcPr>
            <w:tcW w:w="3060" w:type="dxa"/>
            <w:tcBorders>
              <w:top w:val="nil"/>
              <w:left w:val="nil"/>
              <w:right w:val="nil"/>
            </w:tcBorders>
            <w:shd w:val="clear" w:color="auto" w:fill="auto"/>
            <w:vAlign w:val="bottom"/>
          </w:tcPr>
          <w:p w14:paraId="7DB9B714" w14:textId="77777777" w:rsidR="009B2E55" w:rsidRDefault="00AB70EB">
            <w:pPr>
              <w:ind w:left="450"/>
              <w:rPr>
                <w:sz w:val="20"/>
                <w:szCs w:val="20"/>
              </w:rPr>
            </w:pPr>
            <w:r>
              <w:rPr>
                <w:sz w:val="20"/>
                <w:szCs w:val="20"/>
              </w:rPr>
              <w:t xml:space="preserve">Residual (Within) </w:t>
            </w:r>
          </w:p>
        </w:tc>
        <w:tc>
          <w:tcPr>
            <w:tcW w:w="3885" w:type="dxa"/>
            <w:tcBorders>
              <w:top w:val="nil"/>
              <w:left w:val="nil"/>
              <w:right w:val="nil"/>
            </w:tcBorders>
            <w:shd w:val="clear" w:color="auto" w:fill="auto"/>
            <w:vAlign w:val="bottom"/>
          </w:tcPr>
          <w:p w14:paraId="58B17719" w14:textId="63849756" w:rsidR="009B2E55" w:rsidRDefault="00034B41">
            <w:pPr>
              <w:ind w:left="450"/>
              <w:jc w:val="both"/>
            </w:pPr>
            <m:oMathPara>
              <m:oMath>
                <m:d>
                  <m:dPr>
                    <m:begChr m:val="["/>
                    <m:endChr m:val="]"/>
                    <m:ctrlPr>
                      <w:rPr>
                        <w:rFonts w:ascii="Cambria Math" w:hAnsi="Cambria Math"/>
                      </w:rPr>
                    </m:ctrlPr>
                  </m:dPr>
                  <m:e>
                    <m:m>
                      <m:mPr>
                        <m:mcs>
                          <m:mc>
                            <m:mcPr>
                              <m:count m:val="2"/>
                              <m:mcJc m:val="center"/>
                            </m:mcPr>
                          </m:mc>
                        </m:mcs>
                        <m:ctrlPr>
                          <w:rPr>
                            <w:rFonts w:ascii="Cambria Math" w:hAnsi="Cambria Math"/>
                            <w:i/>
                            <w:sz w:val="20"/>
                            <w:szCs w:val="20"/>
                          </w:rPr>
                        </m:ctrlPr>
                      </m:mPr>
                      <m:mr>
                        <m:e>
                          <m:r>
                            <w:rPr>
                              <w:rFonts w:ascii="Cambria Math" w:hAnsi="Cambria Math"/>
                              <w:sz w:val="20"/>
                              <w:szCs w:val="20"/>
                            </w:rPr>
                            <m:t>0,0895</m:t>
                          </m:r>
                          <m:r>
                            <w:rPr>
                              <w:rFonts w:ascii="Cambria Math" w:hAnsi="Cambria Math"/>
                            </w:rPr>
                            <m:t xml:space="preserve">  </m:t>
                          </m:r>
                        </m:e>
                        <m:e>
                          <m:r>
                            <w:rPr>
                              <w:rFonts w:ascii="Cambria Math" w:hAnsi="Cambria Math"/>
                            </w:rPr>
                            <m:t xml:space="preserve"> </m:t>
                          </m:r>
                          <m:r>
                            <w:rPr>
                              <w:rFonts w:ascii="Cambria Math" w:hAnsi="Cambria Math"/>
                              <w:sz w:val="20"/>
                              <w:szCs w:val="20"/>
                            </w:rPr>
                            <m:t>7,1092</m:t>
                          </m:r>
                        </m:e>
                      </m:mr>
                      <m:mr>
                        <m:e>
                          <m:r>
                            <w:rPr>
                              <w:rFonts w:ascii="Cambria Math" w:hAnsi="Cambria Math"/>
                            </w:rPr>
                            <m:t xml:space="preserve"> </m:t>
                          </m:r>
                          <m:r>
                            <w:rPr>
                              <w:rFonts w:ascii="Cambria Math" w:hAnsi="Cambria Math"/>
                              <w:sz w:val="20"/>
                              <w:szCs w:val="20"/>
                            </w:rPr>
                            <m:t>7,1092</m:t>
                          </m:r>
                        </m:e>
                        <m:e>
                          <m:r>
                            <w:rPr>
                              <w:rFonts w:ascii="Cambria Math" w:hAnsi="Cambria Math"/>
                              <w:sz w:val="20"/>
                              <w:szCs w:val="20"/>
                            </w:rPr>
                            <m:t>1733,3542</m:t>
                          </m:r>
                        </m:e>
                      </m:mr>
                    </m:m>
                    <m:r>
                      <w:rPr>
                        <w:rFonts w:ascii="Cambria Math" w:hAnsi="Cambria Math"/>
                      </w:rPr>
                      <m:t xml:space="preserve"> </m:t>
                    </m:r>
                  </m:e>
                </m:d>
              </m:oMath>
            </m:oMathPara>
          </w:p>
        </w:tc>
        <w:tc>
          <w:tcPr>
            <w:tcW w:w="2340" w:type="dxa"/>
            <w:tcBorders>
              <w:top w:val="nil"/>
              <w:left w:val="nil"/>
              <w:right w:val="nil"/>
            </w:tcBorders>
            <w:shd w:val="clear" w:color="auto" w:fill="auto"/>
            <w:vAlign w:val="bottom"/>
          </w:tcPr>
          <w:p w14:paraId="2B32DC2A" w14:textId="77777777" w:rsidR="009B2E55" w:rsidRDefault="00AB70EB">
            <w:pPr>
              <w:ind w:left="90"/>
              <w:jc w:val="center"/>
              <w:rPr>
                <w:sz w:val="20"/>
                <w:szCs w:val="20"/>
              </w:rPr>
            </w:pPr>
            <w:r>
              <w:rPr>
                <w:sz w:val="20"/>
                <w:szCs w:val="20"/>
              </w:rPr>
              <w:t>67</w:t>
            </w:r>
          </w:p>
        </w:tc>
      </w:tr>
      <w:tr w:rsidR="009B2E55" w14:paraId="41643633" w14:textId="77777777">
        <w:trPr>
          <w:trHeight w:val="710"/>
        </w:trPr>
        <w:tc>
          <w:tcPr>
            <w:tcW w:w="3060" w:type="dxa"/>
            <w:tcBorders>
              <w:top w:val="nil"/>
              <w:left w:val="nil"/>
              <w:bottom w:val="single" w:sz="8" w:space="0" w:color="000000"/>
              <w:right w:val="nil"/>
            </w:tcBorders>
            <w:shd w:val="clear" w:color="auto" w:fill="auto"/>
            <w:vAlign w:val="bottom"/>
          </w:tcPr>
          <w:p w14:paraId="6287AD24" w14:textId="77777777" w:rsidR="009B2E55" w:rsidRDefault="00AB70EB">
            <w:pPr>
              <w:ind w:left="450"/>
              <w:rPr>
                <w:sz w:val="20"/>
                <w:szCs w:val="20"/>
              </w:rPr>
            </w:pPr>
            <w:r>
              <w:rPr>
                <w:sz w:val="20"/>
                <w:szCs w:val="20"/>
              </w:rPr>
              <w:t>Total (corrected for the mean)</w:t>
            </w:r>
          </w:p>
        </w:tc>
        <w:tc>
          <w:tcPr>
            <w:tcW w:w="3885" w:type="dxa"/>
            <w:tcBorders>
              <w:top w:val="nil"/>
              <w:left w:val="nil"/>
              <w:bottom w:val="single" w:sz="8" w:space="0" w:color="000000"/>
              <w:right w:val="nil"/>
            </w:tcBorders>
            <w:shd w:val="clear" w:color="auto" w:fill="auto"/>
            <w:vAlign w:val="bottom"/>
          </w:tcPr>
          <w:p w14:paraId="0A0A3584" w14:textId="689BA253" w:rsidR="009B2E55" w:rsidRDefault="00034B41">
            <w:pPr>
              <w:ind w:left="450"/>
              <w:jc w:val="both"/>
            </w:pPr>
            <m:oMathPara>
              <m:oMath>
                <m:d>
                  <m:dPr>
                    <m:begChr m:val="["/>
                    <m:endChr m:val="]"/>
                    <m:ctrlPr>
                      <w:rPr>
                        <w:rFonts w:ascii="Cambria Math" w:hAnsi="Cambria Math"/>
                      </w:rPr>
                    </m:ctrlPr>
                  </m:dPr>
                  <m:e>
                    <m:m>
                      <m:mPr>
                        <m:mcs>
                          <m:mc>
                            <m:mcPr>
                              <m:count m:val="2"/>
                              <m:mcJc m:val="center"/>
                            </m:mcPr>
                          </m:mc>
                        </m:mcs>
                        <m:ctrlPr>
                          <w:rPr>
                            <w:rFonts w:ascii="Cambria Math" w:hAnsi="Cambria Math"/>
                            <w:i/>
                            <w:sz w:val="20"/>
                            <w:szCs w:val="20"/>
                          </w:rPr>
                        </m:ctrlPr>
                      </m:mPr>
                      <m:mr>
                        <m:e>
                          <m:r>
                            <w:rPr>
                              <w:rFonts w:ascii="Cambria Math" w:hAnsi="Cambria Math"/>
                              <w:sz w:val="20"/>
                              <w:szCs w:val="20"/>
                            </w:rPr>
                            <m:t>0,1282</m:t>
                          </m:r>
                          <m:r>
                            <w:rPr>
                              <w:rFonts w:ascii="Cambria Math" w:hAnsi="Cambria Math"/>
                            </w:rPr>
                            <m:t xml:space="preserve">   </m:t>
                          </m:r>
                        </m:e>
                        <m:e>
                          <m:r>
                            <w:rPr>
                              <w:rFonts w:ascii="Cambria Math" w:hAnsi="Cambria Math"/>
                              <w:sz w:val="20"/>
                              <w:szCs w:val="20"/>
                            </w:rPr>
                            <m:t>8,7045</m:t>
                          </m:r>
                        </m:e>
                      </m:mr>
                      <m:mr>
                        <m:e>
                          <m:r>
                            <w:rPr>
                              <w:rFonts w:ascii="Cambria Math" w:hAnsi="Cambria Math"/>
                              <w:sz w:val="20"/>
                              <w:szCs w:val="20"/>
                            </w:rPr>
                            <m:t>8,7045</m:t>
                          </m:r>
                        </m:e>
                        <m:e>
                          <m:r>
                            <w:rPr>
                              <w:rFonts w:ascii="Cambria Math" w:hAnsi="Cambria Math"/>
                              <w:sz w:val="20"/>
                              <w:szCs w:val="20"/>
                            </w:rPr>
                            <m:t>1972,5793</m:t>
                          </m:r>
                        </m:e>
                      </m:mr>
                    </m:m>
                    <m:r>
                      <w:rPr>
                        <w:rFonts w:ascii="Cambria Math" w:hAnsi="Cambria Math"/>
                      </w:rPr>
                      <m:t xml:space="preserve"> </m:t>
                    </m:r>
                  </m:e>
                </m:d>
              </m:oMath>
            </m:oMathPara>
          </w:p>
        </w:tc>
        <w:tc>
          <w:tcPr>
            <w:tcW w:w="2340" w:type="dxa"/>
            <w:tcBorders>
              <w:top w:val="nil"/>
              <w:left w:val="nil"/>
              <w:bottom w:val="single" w:sz="8" w:space="0" w:color="000000"/>
              <w:right w:val="nil"/>
            </w:tcBorders>
            <w:shd w:val="clear" w:color="auto" w:fill="auto"/>
            <w:vAlign w:val="bottom"/>
          </w:tcPr>
          <w:p w14:paraId="44B3D0F6" w14:textId="77777777" w:rsidR="009B2E55" w:rsidRDefault="00AB70EB">
            <w:pPr>
              <w:ind w:left="90"/>
              <w:jc w:val="center"/>
              <w:rPr>
                <w:sz w:val="20"/>
                <w:szCs w:val="20"/>
              </w:rPr>
            </w:pPr>
            <w:r>
              <w:rPr>
                <w:sz w:val="20"/>
                <w:szCs w:val="20"/>
              </w:rPr>
              <w:t>69</w:t>
            </w:r>
          </w:p>
        </w:tc>
      </w:tr>
    </w:tbl>
    <w:p w14:paraId="3C800B49" w14:textId="77777777" w:rsidR="009B2E55" w:rsidRDefault="00AB70EB">
      <w:pPr>
        <w:jc w:val="both"/>
        <w:rPr>
          <w:sz w:val="22"/>
          <w:szCs w:val="22"/>
        </w:rPr>
      </w:pPr>
      <w:r>
        <w:rPr>
          <w:sz w:val="22"/>
          <w:szCs w:val="22"/>
        </w:rPr>
        <w:t xml:space="preserve">        </w:t>
      </w:r>
      <w:r>
        <w:rPr>
          <w:sz w:val="22"/>
          <w:szCs w:val="22"/>
        </w:rPr>
        <w:tab/>
      </w:r>
      <w:r>
        <w:rPr>
          <w:sz w:val="22"/>
          <w:szCs w:val="22"/>
        </w:rPr>
        <w:tab/>
      </w:r>
    </w:p>
    <w:p w14:paraId="173DB14F" w14:textId="6C48829C" w:rsidR="009B2E55" w:rsidRDefault="00AB70EB">
      <w:pPr>
        <w:pBdr>
          <w:top w:val="nil"/>
          <w:left w:val="nil"/>
          <w:bottom w:val="nil"/>
          <w:right w:val="nil"/>
          <w:between w:val="nil"/>
        </w:pBdr>
        <w:ind w:left="450" w:firstLine="435"/>
        <w:jc w:val="both"/>
        <w:rPr>
          <w:color w:val="000000"/>
          <w:sz w:val="22"/>
          <w:szCs w:val="22"/>
        </w:rPr>
      </w:pPr>
      <w:r>
        <w:rPr>
          <w:color w:val="000000"/>
          <w:sz w:val="22"/>
          <w:szCs w:val="22"/>
        </w:rPr>
        <w:t>Berdasarkan informasi tabel manova tersebut maka dapat dilakukan pengujian asumsi dengan melihat nilai WILKS’ LAMBDA. Adapun nilainya adalah sebagai berikut:</w:t>
      </w:r>
    </w:p>
    <w:p w14:paraId="34C789B7" w14:textId="77777777" w:rsidR="00D206D5" w:rsidRDefault="00D206D5">
      <w:pPr>
        <w:pBdr>
          <w:top w:val="nil"/>
          <w:left w:val="nil"/>
          <w:bottom w:val="nil"/>
          <w:right w:val="nil"/>
          <w:between w:val="nil"/>
        </w:pBdr>
        <w:ind w:left="450" w:firstLine="435"/>
        <w:jc w:val="both"/>
        <w:rPr>
          <w:color w:val="000000"/>
          <w:sz w:val="22"/>
          <w:szCs w:val="22"/>
        </w:rPr>
      </w:pPr>
    </w:p>
    <w:p w14:paraId="097FE1F1" w14:textId="65FB12CF" w:rsidR="00732BCE" w:rsidRDefault="00732BCE">
      <w:pPr>
        <w:pBdr>
          <w:top w:val="nil"/>
          <w:left w:val="nil"/>
          <w:bottom w:val="nil"/>
          <w:right w:val="nil"/>
          <w:between w:val="nil"/>
        </w:pBdr>
        <w:ind w:left="450" w:firstLine="435"/>
        <w:jc w:val="both"/>
        <w:rPr>
          <w:sz w:val="22"/>
          <w:szCs w:val="22"/>
        </w:rPr>
      </w:pPr>
      <w:r>
        <w:rPr>
          <w:sz w:val="22"/>
          <w:szCs w:val="22"/>
        </w:rPr>
        <w:t>Λ</w:t>
      </w:r>
      <w:r>
        <w:rPr>
          <w:sz w:val="22"/>
          <w:szCs w:val="22"/>
          <w:vertAlign w:val="superscript"/>
        </w:rPr>
        <w:t>*</w:t>
      </w:r>
      <w:r>
        <w:rPr>
          <w:sz w:val="22"/>
          <w:szCs w:val="22"/>
        </w:rPr>
        <w:t xml:space="preserve"> = </w:t>
      </w:r>
      <m:oMath>
        <m:f>
          <m:fPr>
            <m:ctrlPr>
              <w:rPr>
                <w:rFonts w:ascii="Cambria Math" w:hAnsi="Cambria Math"/>
                <w:sz w:val="22"/>
                <w:szCs w:val="22"/>
              </w:rPr>
            </m:ctrlPr>
          </m:fPr>
          <m:num>
            <m:r>
              <w:rPr>
                <w:rFonts w:ascii="Cambria Math" w:hAnsi="Cambria Math"/>
                <w:sz w:val="22"/>
                <w:szCs w:val="22"/>
              </w:rPr>
              <m:t>|W|</m:t>
            </m:r>
          </m:num>
          <m:den>
            <m:r>
              <w:rPr>
                <w:rFonts w:ascii="Cambria Math" w:hAnsi="Cambria Math"/>
                <w:sz w:val="22"/>
                <w:szCs w:val="22"/>
              </w:rPr>
              <m:t>|B+W|</m:t>
            </m:r>
          </m:den>
        </m:f>
        <m:r>
          <w:rPr>
            <w:rFonts w:ascii="Cambria Math" w:hAnsi="Cambria Math"/>
            <w:sz w:val="22"/>
            <w:szCs w:val="22"/>
          </w:rPr>
          <m:t>= 0.5908906</m:t>
        </m:r>
      </m:oMath>
    </w:p>
    <w:p w14:paraId="6C0D8D87" w14:textId="77777777" w:rsidR="00D206D5" w:rsidRDefault="00D206D5">
      <w:pPr>
        <w:pBdr>
          <w:top w:val="nil"/>
          <w:left w:val="nil"/>
          <w:bottom w:val="nil"/>
          <w:right w:val="nil"/>
          <w:between w:val="nil"/>
        </w:pBdr>
        <w:ind w:left="450" w:firstLine="435"/>
        <w:jc w:val="both"/>
        <w:rPr>
          <w:sz w:val="22"/>
          <w:szCs w:val="22"/>
        </w:rPr>
      </w:pPr>
    </w:p>
    <w:p w14:paraId="5765FE4C" w14:textId="1C9D469C" w:rsidR="003F6358" w:rsidRPr="00A2715F" w:rsidRDefault="003F6358" w:rsidP="003F6358">
      <w:pPr>
        <w:pBdr>
          <w:top w:val="nil"/>
          <w:left w:val="nil"/>
          <w:bottom w:val="nil"/>
          <w:right w:val="nil"/>
          <w:between w:val="nil"/>
        </w:pBdr>
        <w:ind w:left="851"/>
        <w:jc w:val="both"/>
        <w:rPr>
          <w:sz w:val="22"/>
          <w:szCs w:val="22"/>
        </w:rPr>
      </w:pPr>
      <m:oMathPara>
        <m:oMathParaPr>
          <m:jc m:val="left"/>
        </m:oMathParaPr>
        <m:oMath>
          <m:r>
            <w:rPr>
              <w:rFonts w:ascii="Cambria Math" w:hAnsi="Cambria Math"/>
              <w:sz w:val="22"/>
              <w:szCs w:val="22"/>
            </w:rPr>
            <w:lastRenderedPageBreak/>
            <m:t>Fuji=</m:t>
          </m:r>
          <m:d>
            <m:dPr>
              <m:ctrlPr>
                <w:rPr>
                  <w:rFonts w:ascii="Cambria Math" w:hAnsi="Cambria Math"/>
                  <w:i/>
                  <w:sz w:val="22"/>
                  <w:szCs w:val="22"/>
                </w:rPr>
              </m:ctrlPr>
            </m:dPr>
            <m:e>
              <m:f>
                <m:fPr>
                  <m:ctrlPr>
                    <w:rPr>
                      <w:rFonts w:ascii="Cambria Math" w:hAnsi="Cambria Math"/>
                      <w:i/>
                      <w:sz w:val="22"/>
                      <w:szCs w:val="22"/>
                    </w:rPr>
                  </m:ctrlPr>
                </m:fPr>
                <m:num>
                  <m:nary>
                    <m:naryPr>
                      <m:chr m:val="∑"/>
                      <m:limLoc m:val="undOvr"/>
                      <m:subHide m:val="1"/>
                      <m:supHide m:val="1"/>
                      <m:ctrlPr>
                        <w:rPr>
                          <w:rFonts w:ascii="Cambria Math" w:hAnsi="Cambria Math"/>
                          <w:i/>
                          <w:sz w:val="22"/>
                          <w:szCs w:val="22"/>
                        </w:rPr>
                      </m:ctrlPr>
                    </m:naryPr>
                    <m:sub/>
                    <m:sup/>
                    <m:e>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l</m:t>
                          </m:r>
                        </m:sub>
                      </m:sSub>
                      <m:r>
                        <w:rPr>
                          <w:rFonts w:ascii="Cambria Math" w:hAnsi="Cambria Math"/>
                          <w:sz w:val="22"/>
                          <w:szCs w:val="22"/>
                        </w:rPr>
                        <m:t>-p-2</m:t>
                      </m:r>
                    </m:e>
                  </m:nary>
                </m:num>
                <m:den>
                  <m:r>
                    <w:rPr>
                      <w:rFonts w:ascii="Cambria Math" w:hAnsi="Cambria Math"/>
                      <w:sz w:val="22"/>
                      <w:szCs w:val="22"/>
                    </w:rPr>
                    <m:t>p</m:t>
                  </m:r>
                </m:den>
              </m:f>
            </m:e>
          </m:d>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1-</m:t>
                  </m:r>
                  <m:rad>
                    <m:radPr>
                      <m:degHide m:val="1"/>
                      <m:ctrlPr>
                        <w:rPr>
                          <w:rFonts w:ascii="Cambria Math" w:hAnsi="Cambria Math"/>
                          <w:i/>
                          <w:sz w:val="22"/>
                          <w:szCs w:val="22"/>
                        </w:rPr>
                      </m:ctrlPr>
                    </m:radPr>
                    <m:deg/>
                    <m:e>
                      <m:r>
                        <m:rPr>
                          <m:sty m:val="p"/>
                        </m:rPr>
                        <w:rPr>
                          <w:rFonts w:ascii="Cambria Math" w:hAnsi="Cambria Math"/>
                          <w:sz w:val="22"/>
                          <w:szCs w:val="22"/>
                        </w:rPr>
                        <m:t>Λ</m:t>
                      </m:r>
                      <m:r>
                        <m:rPr>
                          <m:sty m:val="p"/>
                        </m:rPr>
                        <w:rPr>
                          <w:rFonts w:ascii="Cambria Math" w:hAnsi="Cambria Math"/>
                          <w:sz w:val="22"/>
                          <w:szCs w:val="22"/>
                          <w:vertAlign w:val="superscript"/>
                          <w:lang w:val="en-US"/>
                        </w:rPr>
                        <m:t>*</m:t>
                      </m:r>
                    </m:e>
                  </m:rad>
                </m:num>
                <m:den>
                  <m:rad>
                    <m:radPr>
                      <m:degHide m:val="1"/>
                      <m:ctrlPr>
                        <w:rPr>
                          <w:rFonts w:ascii="Cambria Math" w:hAnsi="Cambria Math"/>
                          <w:sz w:val="22"/>
                          <w:szCs w:val="22"/>
                        </w:rPr>
                      </m:ctrlPr>
                    </m:radPr>
                    <m:deg/>
                    <m:e>
                      <m:r>
                        <m:rPr>
                          <m:sty m:val="p"/>
                        </m:rPr>
                        <w:rPr>
                          <w:rFonts w:ascii="Cambria Math" w:hAnsi="Cambria Math"/>
                          <w:sz w:val="22"/>
                          <w:szCs w:val="22"/>
                        </w:rPr>
                        <m:t>Λ</m:t>
                      </m:r>
                      <m:r>
                        <m:rPr>
                          <m:sty m:val="p"/>
                        </m:rPr>
                        <w:rPr>
                          <w:rFonts w:ascii="Cambria Math" w:hAnsi="Cambria Math"/>
                          <w:sz w:val="22"/>
                          <w:szCs w:val="22"/>
                          <w:vertAlign w:val="superscript"/>
                          <w:lang w:val="en-US"/>
                        </w:rPr>
                        <m:t>*</m:t>
                      </m:r>
                    </m:e>
                  </m:rad>
                </m:den>
              </m:f>
            </m:e>
          </m:d>
        </m:oMath>
      </m:oMathPara>
    </w:p>
    <w:p w14:paraId="58AA9494" w14:textId="77777777" w:rsidR="00A2715F" w:rsidRPr="003B6FFF" w:rsidRDefault="00A2715F" w:rsidP="003F6358">
      <w:pPr>
        <w:pBdr>
          <w:top w:val="nil"/>
          <w:left w:val="nil"/>
          <w:bottom w:val="nil"/>
          <w:right w:val="nil"/>
          <w:between w:val="nil"/>
        </w:pBdr>
        <w:ind w:left="851"/>
        <w:jc w:val="both"/>
        <w:rPr>
          <w:sz w:val="22"/>
          <w:szCs w:val="22"/>
        </w:rPr>
      </w:pPr>
    </w:p>
    <w:p w14:paraId="41C00EE0" w14:textId="2312DDAA" w:rsidR="003B6FFF" w:rsidRPr="00A2715F" w:rsidRDefault="003B6FFF" w:rsidP="003B6FFF">
      <w:pPr>
        <w:pBdr>
          <w:top w:val="nil"/>
          <w:left w:val="nil"/>
          <w:bottom w:val="nil"/>
          <w:right w:val="nil"/>
          <w:between w:val="nil"/>
        </w:pBdr>
        <w:ind w:left="1276"/>
        <w:jc w:val="both"/>
        <w:rPr>
          <w:color w:val="000000"/>
          <w:sz w:val="22"/>
          <w:szCs w:val="22"/>
        </w:rPr>
      </w:pPr>
      <m:oMathPara>
        <m:oMathParaPr>
          <m:jc m:val="left"/>
        </m:oMathParaPr>
        <m:oMath>
          <m:r>
            <w:rPr>
              <w:rFonts w:ascii="Cambria Math" w:hAnsi="Cambria Math"/>
              <w:sz w:val="22"/>
              <w:szCs w:val="22"/>
            </w:rPr>
            <m:t>=&gt;</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66</m:t>
                  </m:r>
                </m:num>
                <m:den>
                  <m:r>
                    <w:rPr>
                      <w:rFonts w:ascii="Cambria Math" w:hAnsi="Cambria Math"/>
                      <w:sz w:val="22"/>
                      <w:szCs w:val="22"/>
                    </w:rPr>
                    <m:t>2</m:t>
                  </m:r>
                </m:den>
              </m:f>
            </m:e>
          </m:d>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1-</m:t>
                  </m:r>
                  <m:rad>
                    <m:radPr>
                      <m:degHide m:val="1"/>
                      <m:ctrlPr>
                        <w:rPr>
                          <w:rFonts w:ascii="Cambria Math" w:hAnsi="Cambria Math"/>
                          <w:i/>
                          <w:sz w:val="22"/>
                          <w:szCs w:val="22"/>
                        </w:rPr>
                      </m:ctrlPr>
                    </m:radPr>
                    <m:deg/>
                    <m:e>
                      <m:r>
                        <w:rPr>
                          <w:rFonts w:ascii="Cambria Math" w:hAnsi="Cambria Math"/>
                          <w:sz w:val="22"/>
                          <w:szCs w:val="22"/>
                        </w:rPr>
                        <m:t>0.5908906</m:t>
                      </m:r>
                    </m:e>
                  </m:rad>
                </m:num>
                <m:den>
                  <m:rad>
                    <m:radPr>
                      <m:degHide m:val="1"/>
                      <m:ctrlPr>
                        <w:rPr>
                          <w:rFonts w:ascii="Cambria Math" w:hAnsi="Cambria Math"/>
                          <w:sz w:val="22"/>
                          <w:szCs w:val="22"/>
                        </w:rPr>
                      </m:ctrlPr>
                    </m:radPr>
                    <m:deg/>
                    <m:e>
                      <m:r>
                        <w:rPr>
                          <w:rFonts w:ascii="Cambria Math" w:hAnsi="Cambria Math"/>
                          <w:sz w:val="22"/>
                          <w:szCs w:val="22"/>
                        </w:rPr>
                        <m:t>0.5908906</m:t>
                      </m:r>
                    </m:e>
                  </m:rad>
                </m:den>
              </m:f>
            </m:e>
          </m:d>
          <m:r>
            <w:rPr>
              <w:rFonts w:ascii="Cambria Math" w:hAnsi="Cambria Math"/>
              <w:sz w:val="22"/>
              <w:szCs w:val="22"/>
            </w:rPr>
            <m:t>= 9,</m:t>
          </m:r>
          <m:r>
            <w:rPr>
              <w:rFonts w:ascii="Cambria Math" w:hAnsi="Cambria Math"/>
              <w:color w:val="000000"/>
              <w:sz w:val="22"/>
              <w:szCs w:val="22"/>
            </w:rPr>
            <m:t>929951</m:t>
          </m:r>
        </m:oMath>
      </m:oMathPara>
    </w:p>
    <w:p w14:paraId="25CE8BD1" w14:textId="77777777" w:rsidR="00A2715F" w:rsidRPr="00DD3EF6" w:rsidRDefault="00A2715F" w:rsidP="003B6FFF">
      <w:pPr>
        <w:pBdr>
          <w:top w:val="nil"/>
          <w:left w:val="nil"/>
          <w:bottom w:val="nil"/>
          <w:right w:val="nil"/>
          <w:between w:val="nil"/>
        </w:pBdr>
        <w:ind w:left="1276"/>
        <w:jc w:val="both"/>
        <w:rPr>
          <w:color w:val="000000"/>
          <w:sz w:val="22"/>
          <w:szCs w:val="22"/>
        </w:rPr>
      </w:pPr>
    </w:p>
    <w:p w14:paraId="639FB39C" w14:textId="238B72AF" w:rsidR="00DD3EF6" w:rsidRPr="004F7EA2" w:rsidRDefault="00034B41" w:rsidP="009B6CB0">
      <w:pPr>
        <w:pBdr>
          <w:top w:val="nil"/>
          <w:left w:val="nil"/>
          <w:bottom w:val="nil"/>
          <w:right w:val="nil"/>
          <w:between w:val="nil"/>
        </w:pBdr>
        <w:ind w:left="851"/>
        <w:jc w:val="both"/>
        <w:rPr>
          <w:sz w:val="22"/>
          <w:szCs w:val="22"/>
        </w:rPr>
      </w:pPr>
      <m:oMathPara>
        <m:oMathParaPr>
          <m:jc m:val="left"/>
        </m:oMathParaPr>
        <m:oMath>
          <m:sSub>
            <m:sSubPr>
              <m:ctrlPr>
                <w:rPr>
                  <w:rFonts w:ascii="Cambria Math" w:hAnsi="Cambria Math"/>
                  <w:i/>
                  <w:sz w:val="22"/>
                  <w:szCs w:val="22"/>
                </w:rPr>
              </m:ctrlPr>
            </m:sSubPr>
            <m:e>
              <m:sSub>
                <m:sSubPr>
                  <m:ctrlPr>
                    <w:rPr>
                      <w:rFonts w:ascii="Cambria Math" w:hAnsi="Cambria Math"/>
                      <w:color w:val="000000"/>
                      <w:sz w:val="22"/>
                      <w:szCs w:val="22"/>
                    </w:rPr>
                  </m:ctrlPr>
                </m:sSubPr>
                <m:e>
                  <m:r>
                    <w:rPr>
                      <w:rFonts w:ascii="Cambria Math" w:hAnsi="Cambria Math"/>
                      <w:color w:val="000000"/>
                      <w:sz w:val="22"/>
                      <w:szCs w:val="22"/>
                    </w:rPr>
                    <m:t>F</m:t>
                  </m:r>
                </m:e>
                <m:sub>
                  <m:r>
                    <w:rPr>
                      <w:rFonts w:ascii="Cambria Math" w:hAnsi="Cambria Math"/>
                      <w:color w:val="000000"/>
                      <w:sz w:val="22"/>
                      <w:szCs w:val="22"/>
                    </w:rPr>
                    <m:t>tabel</m:t>
                  </m:r>
                </m:sub>
              </m:sSub>
              <m:r>
                <w:rPr>
                  <w:rFonts w:ascii="Cambria Math" w:hAnsi="Cambria Math"/>
                  <w:sz w:val="22"/>
                  <w:szCs w:val="22"/>
                </w:rPr>
                <m:t>= F</m:t>
              </m:r>
            </m:e>
            <m:sub>
              <m:r>
                <w:rPr>
                  <w:rFonts w:ascii="Cambria Math" w:hAnsi="Cambria Math"/>
                  <w:sz w:val="22"/>
                  <w:szCs w:val="22"/>
                </w:rPr>
                <m:t>2p,2(</m:t>
              </m:r>
              <m:nary>
                <m:naryPr>
                  <m:chr m:val="∑"/>
                  <m:limLoc m:val="undOvr"/>
                  <m:subHide m:val="1"/>
                  <m:supHide m:val="1"/>
                  <m:ctrlPr>
                    <w:rPr>
                      <w:rFonts w:ascii="Cambria Math" w:hAnsi="Cambria Math"/>
                      <w:i/>
                      <w:sz w:val="22"/>
                      <w:szCs w:val="22"/>
                    </w:rPr>
                  </m:ctrlPr>
                </m:naryPr>
                <m:sub/>
                <m:sup/>
                <m:e>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l</m:t>
                      </m:r>
                    </m:sub>
                  </m:sSub>
                  <m:r>
                    <w:rPr>
                      <w:rFonts w:ascii="Cambria Math" w:hAnsi="Cambria Math"/>
                      <w:sz w:val="22"/>
                      <w:szCs w:val="22"/>
                    </w:rPr>
                    <m:t xml:space="preserve">-p-2);0.05  </m:t>
                  </m:r>
                </m:e>
              </m:nary>
            </m:sub>
          </m:sSub>
          <m:r>
            <m:rPr>
              <m:sty m:val="p"/>
            </m:rPr>
            <w:rPr>
              <w:rFonts w:ascii="Cambria Math" w:hAnsi="Cambria Math"/>
              <w:sz w:val="22"/>
              <w:szCs w:val="22"/>
            </w:rPr>
            <m:t xml:space="preserve"> dengan</m:t>
          </m:r>
          <m:r>
            <w:rPr>
              <w:rFonts w:ascii="Cambria Math" w:hAnsi="Cambria Math"/>
              <w:sz w:val="22"/>
              <w:szCs w:val="22"/>
            </w:rPr>
            <m:t xml:space="preserve"> α=0.05</m:t>
          </m:r>
        </m:oMath>
      </m:oMathPara>
    </w:p>
    <w:p w14:paraId="37BB74A6" w14:textId="77777777" w:rsidR="004F7EA2" w:rsidRPr="00A77FE7" w:rsidRDefault="004F7EA2" w:rsidP="00050D51">
      <w:pPr>
        <w:pBdr>
          <w:top w:val="nil"/>
          <w:left w:val="nil"/>
          <w:bottom w:val="nil"/>
          <w:right w:val="nil"/>
          <w:between w:val="nil"/>
        </w:pBdr>
        <w:ind w:left="1276"/>
        <w:jc w:val="both"/>
        <w:rPr>
          <w:sz w:val="22"/>
          <w:szCs w:val="22"/>
        </w:rPr>
      </w:pPr>
    </w:p>
    <w:p w14:paraId="233D7E82" w14:textId="523D2752" w:rsidR="009B6EEC" w:rsidRPr="000F61D4" w:rsidRDefault="00034B41" w:rsidP="00050D51">
      <w:pPr>
        <w:pBdr>
          <w:top w:val="nil"/>
          <w:left w:val="nil"/>
          <w:bottom w:val="nil"/>
          <w:right w:val="nil"/>
          <w:between w:val="nil"/>
        </w:pBdr>
        <w:ind w:left="1418"/>
        <w:jc w:val="both"/>
        <w:rPr>
          <w:sz w:val="22"/>
          <w:szCs w:val="22"/>
        </w:rPr>
      </w:pPr>
      <m:oMath>
        <m:sSub>
          <m:sSubPr>
            <m:ctrlPr>
              <w:rPr>
                <w:rFonts w:ascii="Cambria Math" w:hAnsi="Cambria Math"/>
                <w:i/>
                <w:sz w:val="22"/>
                <w:szCs w:val="22"/>
              </w:rPr>
            </m:ctrlPr>
          </m:sSubPr>
          <m:e>
            <m:r>
              <w:rPr>
                <w:rFonts w:ascii="Cambria Math" w:hAnsi="Cambria Math"/>
                <w:color w:val="000000"/>
                <w:sz w:val="22"/>
                <w:szCs w:val="22"/>
              </w:rPr>
              <m:t>=&gt;</m:t>
            </m:r>
            <m:r>
              <w:rPr>
                <w:rFonts w:ascii="Cambria Math" w:hAnsi="Cambria Math"/>
                <w:sz w:val="22"/>
                <w:szCs w:val="22"/>
              </w:rPr>
              <m:t xml:space="preserve"> F</m:t>
            </m:r>
          </m:e>
          <m:sub>
            <m:r>
              <w:rPr>
                <w:rFonts w:ascii="Cambria Math" w:hAnsi="Cambria Math"/>
                <w:sz w:val="22"/>
                <w:szCs w:val="22"/>
              </w:rPr>
              <m:t xml:space="preserve"> 4 ,132 ;0.05 </m:t>
            </m:r>
          </m:sub>
        </m:sSub>
        <m:r>
          <w:rPr>
            <w:rFonts w:ascii="Cambria Math" w:hAnsi="Cambria Math"/>
            <w:color w:val="000000"/>
            <w:sz w:val="22"/>
            <w:szCs w:val="22"/>
          </w:rPr>
          <m:t>= 2,440282</m:t>
        </m:r>
      </m:oMath>
      <w:r w:rsidR="003147F2">
        <w:rPr>
          <w:color w:val="000000"/>
          <w:sz w:val="22"/>
          <w:szCs w:val="22"/>
        </w:rPr>
        <w:t xml:space="preserve"> </w:t>
      </w:r>
      <w:r w:rsidR="00CC399E">
        <w:rPr>
          <w:sz w:val="22"/>
          <w:szCs w:val="22"/>
        </w:rPr>
        <w:t xml:space="preserve"> </w:t>
      </w:r>
    </w:p>
    <w:p w14:paraId="33D5794F" w14:textId="77777777" w:rsidR="009B2E55" w:rsidRDefault="009B2E55">
      <w:pPr>
        <w:pBdr>
          <w:top w:val="nil"/>
          <w:left w:val="nil"/>
          <w:bottom w:val="nil"/>
          <w:right w:val="nil"/>
          <w:between w:val="nil"/>
        </w:pBdr>
        <w:jc w:val="both"/>
        <w:rPr>
          <w:color w:val="000000"/>
          <w:sz w:val="22"/>
          <w:szCs w:val="22"/>
        </w:rPr>
      </w:pPr>
    </w:p>
    <w:p w14:paraId="1F9BA970" w14:textId="77777777" w:rsidR="009B2E55" w:rsidRDefault="00AB70EB">
      <w:pPr>
        <w:pBdr>
          <w:top w:val="nil"/>
          <w:left w:val="nil"/>
          <w:bottom w:val="nil"/>
          <w:right w:val="nil"/>
          <w:between w:val="nil"/>
        </w:pBdr>
        <w:ind w:left="450" w:firstLine="435"/>
        <w:jc w:val="both"/>
        <w:rPr>
          <w:color w:val="000000"/>
          <w:sz w:val="22"/>
          <w:szCs w:val="22"/>
        </w:rPr>
      </w:pPr>
      <w:r>
        <w:rPr>
          <w:color w:val="000000"/>
          <w:sz w:val="22"/>
          <w:szCs w:val="22"/>
        </w:rPr>
        <w:t xml:space="preserve">Berdasarkan </w:t>
      </w:r>
      <w:r>
        <w:rPr>
          <w:sz w:val="22"/>
          <w:szCs w:val="22"/>
        </w:rPr>
        <w:t>i</w:t>
      </w:r>
      <w:r>
        <w:rPr>
          <w:color w:val="000000"/>
          <w:sz w:val="22"/>
          <w:szCs w:val="22"/>
        </w:rPr>
        <w:t xml:space="preserve">nformasi tersebut dengan tingkat signifikansi alpha 5% maka terdapat cukup bukti untuk menolak </w:t>
      </w:r>
      <m:oMath>
        <m:sSub>
          <m:sSubPr>
            <m:ctrlPr>
              <w:rPr>
                <w:rFonts w:ascii="Cambria Math" w:hAnsi="Cambria Math"/>
                <w:color w:val="000000"/>
                <w:sz w:val="22"/>
                <w:szCs w:val="22"/>
              </w:rPr>
            </m:ctrlPr>
          </m:sSubPr>
          <m:e>
            <m:r>
              <w:rPr>
                <w:rFonts w:ascii="Cambria Math" w:hAnsi="Cambria Math"/>
                <w:color w:val="000000"/>
                <w:sz w:val="22"/>
                <w:szCs w:val="22"/>
              </w:rPr>
              <m:t>H</m:t>
            </m:r>
          </m:e>
          <m:sub>
            <m:r>
              <w:rPr>
                <w:rFonts w:ascii="Cambria Math" w:hAnsi="Cambria Math"/>
                <w:color w:val="000000"/>
                <w:sz w:val="22"/>
                <w:szCs w:val="22"/>
              </w:rPr>
              <m:t>0</m:t>
            </m:r>
          </m:sub>
        </m:sSub>
      </m:oMath>
      <w:r>
        <w:rPr>
          <w:color w:val="000000"/>
          <w:sz w:val="22"/>
          <w:szCs w:val="22"/>
        </w:rPr>
        <w:t xml:space="preserve">, yang berarti minimal ada satu rata-rata populasi yang berbeda signifikan terhadap populasi lainnya. Untuk melihat hal tersebut diperlukan pengujian </w:t>
      </w:r>
      <w:r>
        <w:rPr>
          <w:i/>
          <w:sz w:val="22"/>
          <w:szCs w:val="22"/>
        </w:rPr>
        <w:t>simultaneous</w:t>
      </w:r>
      <w:r>
        <w:rPr>
          <w:i/>
          <w:color w:val="000000"/>
          <w:sz w:val="22"/>
          <w:szCs w:val="22"/>
        </w:rPr>
        <w:t xml:space="preserve"> confidence interval</w:t>
      </w:r>
      <w:r>
        <w:rPr>
          <w:color w:val="000000"/>
          <w:sz w:val="22"/>
          <w:szCs w:val="22"/>
        </w:rPr>
        <w:t xml:space="preserve"> dengan tingkat signifikansi alpha 5%.</w:t>
      </w:r>
    </w:p>
    <w:p w14:paraId="31BFEA15" w14:textId="77777777" w:rsidR="009B2E55" w:rsidRDefault="009B2E55">
      <w:pPr>
        <w:pBdr>
          <w:top w:val="nil"/>
          <w:left w:val="nil"/>
          <w:bottom w:val="nil"/>
          <w:right w:val="nil"/>
          <w:between w:val="nil"/>
        </w:pBdr>
        <w:ind w:firstLine="432"/>
        <w:jc w:val="both"/>
        <w:rPr>
          <w:color w:val="000000"/>
          <w:sz w:val="22"/>
          <w:szCs w:val="22"/>
        </w:rPr>
      </w:pPr>
    </w:p>
    <w:p w14:paraId="4CECB98D" w14:textId="48131912" w:rsidR="009B2E55" w:rsidRDefault="00B641BA">
      <w:pPr>
        <w:ind w:left="450" w:firstLine="435"/>
        <w:jc w:val="both"/>
        <w:rPr>
          <w:sz w:val="22"/>
          <w:szCs w:val="22"/>
        </w:rPr>
      </w:pPr>
      <w:r>
        <w:rPr>
          <w:i/>
          <w:sz w:val="22"/>
          <w:szCs w:val="22"/>
        </w:rPr>
        <w:t>S</w:t>
      </w:r>
      <w:r>
        <w:rPr>
          <w:i/>
          <w:sz w:val="22"/>
          <w:szCs w:val="22"/>
        </w:rPr>
        <w:t>imultaneous</w:t>
      </w:r>
      <w:r>
        <w:rPr>
          <w:i/>
          <w:color w:val="000000"/>
          <w:sz w:val="22"/>
          <w:szCs w:val="22"/>
        </w:rPr>
        <w:t xml:space="preserve"> confidence interv</w:t>
      </w:r>
      <w:r>
        <w:rPr>
          <w:i/>
          <w:color w:val="000000"/>
          <w:sz w:val="22"/>
          <w:szCs w:val="22"/>
        </w:rPr>
        <w:t>al</w:t>
      </w:r>
      <w:r w:rsidR="00AB70EB">
        <w:rPr>
          <w:sz w:val="22"/>
          <w:szCs w:val="22"/>
        </w:rPr>
        <w:t xml:space="preserve"> dari rata-rata populasi untuk masing-masing variabel dengan angka signifikansi alpha 5% dan didapatkan hasil sebagai berikut:</w:t>
      </w:r>
    </w:p>
    <w:p w14:paraId="309724E6" w14:textId="77777777" w:rsidR="009B2E55" w:rsidRDefault="009B2E55">
      <w:pPr>
        <w:ind w:firstLine="432"/>
        <w:jc w:val="both"/>
        <w:rPr>
          <w:sz w:val="22"/>
          <w:szCs w:val="22"/>
        </w:rPr>
      </w:pPr>
    </w:p>
    <w:p w14:paraId="316F5AC1" w14:textId="77777777" w:rsidR="009B2E55" w:rsidRDefault="00AB70EB">
      <w:pPr>
        <w:numPr>
          <w:ilvl w:val="0"/>
          <w:numId w:val="5"/>
        </w:numPr>
        <w:ind w:left="1440" w:hanging="540"/>
        <w:jc w:val="both"/>
        <w:rPr>
          <w:sz w:val="22"/>
          <w:szCs w:val="22"/>
        </w:rPr>
      </w:pPr>
      <w:r>
        <w:rPr>
          <w:sz w:val="22"/>
          <w:szCs w:val="22"/>
        </w:rPr>
        <w:t>Perbedaan rata-rata variabel gini rasio antara provinsi Jawa Timur dan Jawa Barat</w:t>
      </w:r>
    </w:p>
    <w:p w14:paraId="17F977BB" w14:textId="77777777" w:rsidR="009B2E55" w:rsidRDefault="009B2E55">
      <w:pPr>
        <w:ind w:left="450" w:firstLine="450"/>
        <w:jc w:val="both"/>
        <w:rPr>
          <w:sz w:val="22"/>
          <w:szCs w:val="22"/>
        </w:rPr>
      </w:pPr>
    </w:p>
    <w:p w14:paraId="5872FDB3" w14:textId="77777777" w:rsidR="009B2E55" w:rsidRDefault="00AB70EB">
      <w:pPr>
        <w:ind w:left="450" w:firstLine="450"/>
        <w:jc w:val="center"/>
      </w:pPr>
      <m:oMathPara>
        <m:oMath>
          <m:r>
            <w:rPr>
              <w:rFonts w:ascii="Cambria Math" w:hAnsi="Cambria Math"/>
            </w:rPr>
            <m:t>-0,06512845≤</m:t>
          </m:r>
          <m:sSub>
            <m:sSubPr>
              <m:ctrlPr>
                <w:rPr>
                  <w:rFonts w:ascii="Cambria Math" w:hAnsi="Cambria Math"/>
                </w:rPr>
              </m:ctrlPr>
            </m:sSubPr>
            <m:e>
              <m:r>
                <w:rPr>
                  <w:rFonts w:ascii="Cambria Math" w:hAnsi="Cambria Math"/>
                </w:rPr>
                <m:t>τ</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21</m:t>
              </m:r>
            </m:sub>
          </m:sSub>
          <m:r>
            <w:rPr>
              <w:rFonts w:ascii="Cambria Math" w:hAnsi="Cambria Math"/>
            </w:rPr>
            <m:t>≤-0,01510352</m:t>
          </m:r>
        </m:oMath>
      </m:oMathPara>
    </w:p>
    <w:p w14:paraId="4E7BA1C8" w14:textId="77777777" w:rsidR="009B2E55" w:rsidRDefault="00AB70EB">
      <w:pPr>
        <w:ind w:left="1440" w:firstLine="450"/>
        <w:jc w:val="both"/>
        <w:rPr>
          <w:sz w:val="22"/>
          <w:szCs w:val="22"/>
        </w:rPr>
      </w:pPr>
      <w:r>
        <w:rPr>
          <w:sz w:val="22"/>
          <w:szCs w:val="22"/>
        </w:rPr>
        <w:t xml:space="preserve">Berdasarkan informasi tersebut dan tingkat signifikansi alpha 5% , maka tolak </w:t>
      </w:r>
      <m:oMath>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0</m:t>
            </m:r>
          </m:sub>
        </m:sSub>
      </m:oMath>
      <w:r>
        <w:rPr>
          <w:sz w:val="22"/>
          <w:szCs w:val="22"/>
        </w:rPr>
        <w:t xml:space="preserve"> yang berarti terdapat perbedaan signifikan pada variabel gini rasio dalam provinsi Jawa Timur dan Jawa Barat. Nilai didapatkan dengan tanda negatif (-) yang berarti rata-rata gini rasio provinsi Jawa Barat lebih besar daripada provinsi Jawa Timur</w:t>
      </w:r>
    </w:p>
    <w:p w14:paraId="77FA42C1" w14:textId="77777777" w:rsidR="009B2E55" w:rsidRDefault="009B2E55">
      <w:pPr>
        <w:ind w:left="450" w:firstLine="450"/>
        <w:jc w:val="both"/>
        <w:rPr>
          <w:sz w:val="22"/>
          <w:szCs w:val="22"/>
        </w:rPr>
      </w:pPr>
    </w:p>
    <w:p w14:paraId="56DFE2CB" w14:textId="77777777" w:rsidR="009B2E55" w:rsidRDefault="00AB70EB">
      <w:pPr>
        <w:numPr>
          <w:ilvl w:val="0"/>
          <w:numId w:val="5"/>
        </w:numPr>
        <w:ind w:left="1440" w:hanging="540"/>
        <w:jc w:val="both"/>
        <w:rPr>
          <w:sz w:val="22"/>
          <w:szCs w:val="22"/>
        </w:rPr>
      </w:pPr>
      <w:r>
        <w:rPr>
          <w:sz w:val="22"/>
          <w:szCs w:val="22"/>
        </w:rPr>
        <w:t>Perbedaan rata-rata variabel gini rasio antara provinsi Jawa Timur dan DI Yogyakarta</w:t>
      </w:r>
    </w:p>
    <w:p w14:paraId="660C692D" w14:textId="77777777" w:rsidR="009B2E55" w:rsidRDefault="009B2E55">
      <w:pPr>
        <w:ind w:left="450" w:firstLine="450"/>
        <w:jc w:val="both"/>
        <w:rPr>
          <w:sz w:val="22"/>
          <w:szCs w:val="22"/>
        </w:rPr>
      </w:pPr>
    </w:p>
    <w:p w14:paraId="052BBE9D" w14:textId="77777777" w:rsidR="009B2E55" w:rsidRDefault="00AB70EB">
      <w:pPr>
        <w:ind w:left="450" w:firstLine="450"/>
        <w:jc w:val="center"/>
      </w:pPr>
      <m:oMathPara>
        <m:oMath>
          <m:r>
            <w:rPr>
              <w:rFonts w:ascii="Cambria Math" w:hAnsi="Cambria Math"/>
            </w:rPr>
            <m:t>-0,1173539≤</m:t>
          </m:r>
          <m:sSub>
            <m:sSubPr>
              <m:ctrlPr>
                <w:rPr>
                  <w:rFonts w:ascii="Cambria Math" w:hAnsi="Cambria Math"/>
                </w:rPr>
              </m:ctrlPr>
            </m:sSubPr>
            <m:e>
              <m:r>
                <w:rPr>
                  <w:rFonts w:ascii="Cambria Math" w:hAnsi="Cambria Math"/>
                </w:rPr>
                <m:t>τ</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31</m:t>
              </m:r>
            </m:sub>
          </m:sSub>
          <m:r>
            <w:rPr>
              <w:rFonts w:ascii="Cambria Math" w:hAnsi="Cambria Math"/>
            </w:rPr>
            <m:t>≤-0,02280401</m:t>
          </m:r>
        </m:oMath>
      </m:oMathPara>
    </w:p>
    <w:p w14:paraId="7A3C49A6" w14:textId="77777777" w:rsidR="009B2E55" w:rsidRDefault="00AB70EB">
      <w:pPr>
        <w:ind w:left="1440" w:firstLine="450"/>
        <w:jc w:val="both"/>
        <w:rPr>
          <w:sz w:val="22"/>
          <w:szCs w:val="22"/>
        </w:rPr>
      </w:pPr>
      <w:r>
        <w:rPr>
          <w:sz w:val="22"/>
          <w:szCs w:val="22"/>
        </w:rPr>
        <w:t xml:space="preserve">Berdasarkan informasi tersebut dan tingkat signifikansi alpha 5%, maka tolak </w:t>
      </w:r>
      <m:oMath>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0</m:t>
            </m:r>
          </m:sub>
        </m:sSub>
      </m:oMath>
      <w:r>
        <w:rPr>
          <w:sz w:val="22"/>
          <w:szCs w:val="22"/>
        </w:rPr>
        <w:t xml:space="preserve"> yang berarti terdapat perbedaan signifikan pada variabel gini rasio dalam provinsi Jawa Timur dan DI Yogyakarta. Nilai didapatkan dengan tanda negatif (-) yang berarti rata-rata gini rasio provinsi DI Yogyakarta lebih besar daripada provinsi Jawa Timur.</w:t>
      </w:r>
    </w:p>
    <w:p w14:paraId="75E2637B" w14:textId="77777777" w:rsidR="009B2E55" w:rsidRDefault="009B2E55">
      <w:pPr>
        <w:ind w:left="450" w:firstLine="450"/>
        <w:jc w:val="both"/>
        <w:rPr>
          <w:sz w:val="22"/>
          <w:szCs w:val="22"/>
        </w:rPr>
      </w:pPr>
    </w:p>
    <w:p w14:paraId="090F6165" w14:textId="77777777" w:rsidR="009B2E55" w:rsidRDefault="00AB70EB">
      <w:pPr>
        <w:numPr>
          <w:ilvl w:val="0"/>
          <w:numId w:val="5"/>
        </w:numPr>
        <w:ind w:left="1440" w:hanging="540"/>
        <w:jc w:val="both"/>
        <w:rPr>
          <w:sz w:val="22"/>
          <w:szCs w:val="22"/>
        </w:rPr>
      </w:pPr>
      <w:r>
        <w:rPr>
          <w:sz w:val="22"/>
          <w:szCs w:val="22"/>
        </w:rPr>
        <w:t>Perbedaan rata-rata variabel gini rasio antara provinsi Jawa Barat dan DI Yogyakarta</w:t>
      </w:r>
    </w:p>
    <w:p w14:paraId="2E180EF9" w14:textId="77777777" w:rsidR="009B2E55" w:rsidRDefault="009B2E55">
      <w:pPr>
        <w:ind w:left="450" w:firstLine="450"/>
        <w:jc w:val="both"/>
        <w:rPr>
          <w:sz w:val="22"/>
          <w:szCs w:val="22"/>
        </w:rPr>
      </w:pPr>
    </w:p>
    <w:p w14:paraId="6C033188" w14:textId="77777777" w:rsidR="009B2E55" w:rsidRDefault="00AB70EB">
      <w:pPr>
        <w:ind w:left="450" w:firstLine="450"/>
        <w:jc w:val="center"/>
      </w:pPr>
      <m:oMathPara>
        <m:oMath>
          <m:r>
            <w:rPr>
              <w:rFonts w:ascii="Cambria Math" w:hAnsi="Cambria Math"/>
            </w:rPr>
            <m:t>-0,07834472≤</m:t>
          </m:r>
          <m:sSub>
            <m:sSubPr>
              <m:ctrlPr>
                <w:rPr>
                  <w:rFonts w:ascii="Cambria Math" w:hAnsi="Cambria Math"/>
                </w:rPr>
              </m:ctrlPr>
            </m:sSubPr>
            <m:e>
              <m:r>
                <w:rPr>
                  <w:rFonts w:ascii="Cambria Math" w:hAnsi="Cambria Math"/>
                </w:rPr>
                <m:t>τ</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31</m:t>
              </m:r>
            </m:sub>
          </m:sSub>
          <m:r>
            <w:rPr>
              <w:rFonts w:ascii="Cambria Math" w:hAnsi="Cambria Math"/>
            </w:rPr>
            <m:t>≤0,01841879</m:t>
          </m:r>
        </m:oMath>
      </m:oMathPara>
    </w:p>
    <w:p w14:paraId="51902EC2" w14:textId="77777777" w:rsidR="009B2E55" w:rsidRDefault="00AB70EB">
      <w:pPr>
        <w:ind w:left="1440" w:firstLine="450"/>
        <w:jc w:val="both"/>
        <w:rPr>
          <w:sz w:val="22"/>
          <w:szCs w:val="22"/>
        </w:rPr>
      </w:pPr>
      <w:r>
        <w:rPr>
          <w:sz w:val="22"/>
          <w:szCs w:val="22"/>
        </w:rPr>
        <w:t xml:space="preserve">Berdasarkan informasi tersebut dan tingkat signifikansi alpha 5%, maka gagal  tolak </w:t>
      </w:r>
      <m:oMath>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0</m:t>
            </m:r>
          </m:sub>
        </m:sSub>
      </m:oMath>
      <w:r>
        <w:rPr>
          <w:sz w:val="22"/>
          <w:szCs w:val="22"/>
        </w:rPr>
        <w:t xml:space="preserve"> yang berarti tidak  cukup bukti untuk mengatakan ada perbedaan signifikan pada variabel gini rasio dalam provinsi Jawa Barat dan DI Yogyakarta.</w:t>
      </w:r>
    </w:p>
    <w:p w14:paraId="235EA829" w14:textId="77777777" w:rsidR="009B2E55" w:rsidRDefault="009B2E55">
      <w:pPr>
        <w:ind w:left="450" w:firstLine="450"/>
        <w:jc w:val="both"/>
        <w:rPr>
          <w:sz w:val="22"/>
          <w:szCs w:val="22"/>
        </w:rPr>
      </w:pPr>
    </w:p>
    <w:p w14:paraId="01660504" w14:textId="77777777" w:rsidR="009B2E55" w:rsidRDefault="00AB70EB">
      <w:pPr>
        <w:numPr>
          <w:ilvl w:val="0"/>
          <w:numId w:val="5"/>
        </w:numPr>
        <w:ind w:left="1440" w:hanging="540"/>
        <w:jc w:val="both"/>
        <w:rPr>
          <w:sz w:val="22"/>
          <w:szCs w:val="22"/>
        </w:rPr>
      </w:pPr>
      <w:r>
        <w:rPr>
          <w:sz w:val="22"/>
          <w:szCs w:val="22"/>
        </w:rPr>
        <w:t>Perbedaan rata-rata variabel indeks pembangunan manusia antara provinsi Jawa Timur dan Jawa Barat</w:t>
      </w:r>
    </w:p>
    <w:p w14:paraId="41DB0EF2" w14:textId="77777777" w:rsidR="009B2E55" w:rsidRDefault="009B2E55">
      <w:pPr>
        <w:ind w:left="450" w:firstLine="450"/>
        <w:jc w:val="both"/>
        <w:rPr>
          <w:sz w:val="22"/>
          <w:szCs w:val="22"/>
        </w:rPr>
      </w:pPr>
    </w:p>
    <w:p w14:paraId="0BD91F01" w14:textId="77777777" w:rsidR="009B2E55" w:rsidRDefault="00AB70EB">
      <w:pPr>
        <w:ind w:left="450" w:firstLine="450"/>
        <w:jc w:val="center"/>
      </w:pPr>
      <m:oMathPara>
        <m:oMath>
          <m:r>
            <w:rPr>
              <w:rFonts w:ascii="Cambria Math" w:hAnsi="Cambria Math"/>
            </w:rPr>
            <m:t>-3,196243≤</m:t>
          </m:r>
          <m:sSub>
            <m:sSubPr>
              <m:ctrlPr>
                <w:rPr>
                  <w:rFonts w:ascii="Cambria Math" w:hAnsi="Cambria Math"/>
                </w:rPr>
              </m:ctrlPr>
            </m:sSubPr>
            <m:e>
              <m:r>
                <w:rPr>
                  <w:rFonts w:ascii="Cambria Math" w:hAnsi="Cambria Math"/>
                </w:rPr>
                <m:t>τ</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22</m:t>
              </m:r>
            </m:sub>
          </m:sSub>
          <m:r>
            <w:rPr>
              <w:rFonts w:ascii="Cambria Math" w:hAnsi="Cambria Math"/>
            </w:rPr>
            <m:t>≤3,765288)</m:t>
          </m:r>
        </m:oMath>
      </m:oMathPara>
    </w:p>
    <w:p w14:paraId="23871413" w14:textId="77777777" w:rsidR="009B2E55" w:rsidRDefault="00AB70EB">
      <w:pPr>
        <w:ind w:left="1440" w:firstLine="450"/>
        <w:jc w:val="both"/>
        <w:rPr>
          <w:sz w:val="22"/>
          <w:szCs w:val="22"/>
        </w:rPr>
      </w:pPr>
      <w:r>
        <w:rPr>
          <w:sz w:val="22"/>
          <w:szCs w:val="22"/>
        </w:rPr>
        <w:t xml:space="preserve">Berdasarkan informasi tersebut dan tingkat signifikasi alpha 5%, maka gagal  tolak </w:t>
      </w:r>
      <m:oMath>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0</m:t>
            </m:r>
          </m:sub>
        </m:sSub>
      </m:oMath>
      <w:r>
        <w:rPr>
          <w:sz w:val="22"/>
          <w:szCs w:val="22"/>
        </w:rPr>
        <w:t xml:space="preserve"> yang berarti tidak  cukup bukti untuk mengatakan ada perbedaan signifikan pada variabel IPM dalam provinsi Jawa Barat dan Jawa Timur.</w:t>
      </w:r>
    </w:p>
    <w:p w14:paraId="1019E4E9" w14:textId="77777777" w:rsidR="009B2E55" w:rsidRDefault="009B2E55">
      <w:pPr>
        <w:ind w:left="450" w:firstLine="450"/>
        <w:jc w:val="both"/>
        <w:rPr>
          <w:sz w:val="22"/>
          <w:szCs w:val="22"/>
        </w:rPr>
      </w:pPr>
    </w:p>
    <w:p w14:paraId="4C6F8779" w14:textId="77777777" w:rsidR="009B2E55" w:rsidRDefault="00AB70EB">
      <w:pPr>
        <w:numPr>
          <w:ilvl w:val="0"/>
          <w:numId w:val="5"/>
        </w:numPr>
        <w:ind w:left="1440" w:hanging="540"/>
        <w:jc w:val="both"/>
        <w:rPr>
          <w:sz w:val="22"/>
          <w:szCs w:val="22"/>
        </w:rPr>
      </w:pPr>
      <w:r>
        <w:rPr>
          <w:sz w:val="22"/>
          <w:szCs w:val="22"/>
        </w:rPr>
        <w:t>Perbedaan rata-rata variabel indeks pembangunan manusia antara provinsi Jawa Timur dan DI Yogyakarta</w:t>
      </w:r>
    </w:p>
    <w:p w14:paraId="6DAD1C13" w14:textId="77777777" w:rsidR="009B2E55" w:rsidRDefault="009B2E55">
      <w:pPr>
        <w:ind w:left="450" w:firstLine="450"/>
        <w:jc w:val="both"/>
        <w:rPr>
          <w:sz w:val="22"/>
          <w:szCs w:val="22"/>
        </w:rPr>
      </w:pPr>
    </w:p>
    <w:p w14:paraId="251AED0E" w14:textId="77777777" w:rsidR="009B2E55" w:rsidRDefault="00AB70EB">
      <w:pPr>
        <w:ind w:left="450" w:firstLine="450"/>
        <w:jc w:val="center"/>
      </w:pPr>
      <m:oMathPara>
        <m:oMath>
          <m:r>
            <w:rPr>
              <w:rFonts w:ascii="Cambria Math" w:hAnsi="Cambria Math"/>
            </w:rPr>
            <m:t>-13,61958≤</m:t>
          </m:r>
          <m:sSub>
            <m:sSubPr>
              <m:ctrlPr>
                <w:rPr>
                  <w:rFonts w:ascii="Cambria Math" w:hAnsi="Cambria Math"/>
                </w:rPr>
              </m:ctrlPr>
            </m:sSubPr>
            <m:e>
              <m:r>
                <w:rPr>
                  <w:rFonts w:ascii="Cambria Math" w:hAnsi="Cambria Math"/>
                </w:rPr>
                <m:t>τ</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32</m:t>
              </m:r>
            </m:sub>
          </m:sSub>
          <m:r>
            <w:rPr>
              <w:rFonts w:ascii="Cambria Math" w:hAnsi="Cambria Math"/>
            </w:rPr>
            <m:t>≤-0.4618984</m:t>
          </m:r>
        </m:oMath>
      </m:oMathPara>
    </w:p>
    <w:p w14:paraId="1504F826" w14:textId="77777777" w:rsidR="009B2E55" w:rsidRDefault="00AB70EB">
      <w:pPr>
        <w:ind w:left="1440" w:firstLine="450"/>
        <w:jc w:val="both"/>
        <w:rPr>
          <w:sz w:val="22"/>
          <w:szCs w:val="22"/>
        </w:rPr>
      </w:pPr>
      <w:r>
        <w:rPr>
          <w:sz w:val="22"/>
          <w:szCs w:val="22"/>
        </w:rPr>
        <w:t xml:space="preserve">Berdasarkan informasi tersebut dan tingkat signifikasi alpha 5%, maka tolak </w:t>
      </w:r>
      <m:oMath>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0</m:t>
            </m:r>
          </m:sub>
        </m:sSub>
      </m:oMath>
      <w:r>
        <w:rPr>
          <w:sz w:val="22"/>
          <w:szCs w:val="22"/>
        </w:rPr>
        <w:t xml:space="preserve"> yang berarti terdapat perbedaan signifikan pada variabel IPM  dalam provinsi Jawa Timur dan DI Yogyakarta. </w:t>
      </w:r>
      <w:r>
        <w:rPr>
          <w:sz w:val="22"/>
          <w:szCs w:val="22"/>
        </w:rPr>
        <w:lastRenderedPageBreak/>
        <w:t>Nilai didapatkan dengan tanda negative(-) yang berarti rata-rata IPM provinsi DI Yogyakarta lebih besar daripada provinsi Jawa Timur.</w:t>
      </w:r>
    </w:p>
    <w:p w14:paraId="7AB076E9" w14:textId="77777777" w:rsidR="009B2E55" w:rsidRDefault="009B2E55">
      <w:pPr>
        <w:ind w:left="450" w:firstLine="450"/>
        <w:jc w:val="both"/>
        <w:rPr>
          <w:sz w:val="22"/>
          <w:szCs w:val="22"/>
        </w:rPr>
      </w:pPr>
    </w:p>
    <w:p w14:paraId="5ECEAFD2" w14:textId="77777777" w:rsidR="009B2E55" w:rsidRDefault="009B2E55">
      <w:pPr>
        <w:ind w:left="450" w:firstLine="450"/>
        <w:jc w:val="both"/>
        <w:rPr>
          <w:sz w:val="22"/>
          <w:szCs w:val="22"/>
        </w:rPr>
      </w:pPr>
    </w:p>
    <w:p w14:paraId="3A3BE9C6" w14:textId="77777777" w:rsidR="009B2E55" w:rsidRDefault="00AB70EB">
      <w:pPr>
        <w:numPr>
          <w:ilvl w:val="0"/>
          <w:numId w:val="5"/>
        </w:numPr>
        <w:ind w:left="1440" w:hanging="540"/>
        <w:jc w:val="both"/>
        <w:rPr>
          <w:sz w:val="22"/>
          <w:szCs w:val="22"/>
        </w:rPr>
      </w:pPr>
      <w:r>
        <w:rPr>
          <w:sz w:val="22"/>
          <w:szCs w:val="22"/>
        </w:rPr>
        <w:t>Perbedaan rata-rata variabel indeks pembangunan manusia antara provinsi Jawa Barat dan DI Yogyakarta</w:t>
      </w:r>
    </w:p>
    <w:p w14:paraId="27842CA5" w14:textId="77777777" w:rsidR="009B2E55" w:rsidRDefault="009B2E55">
      <w:pPr>
        <w:ind w:left="450" w:firstLine="450"/>
        <w:jc w:val="both"/>
        <w:rPr>
          <w:sz w:val="22"/>
          <w:szCs w:val="22"/>
        </w:rPr>
      </w:pPr>
    </w:p>
    <w:p w14:paraId="14B17602" w14:textId="77777777" w:rsidR="009B2E55" w:rsidRDefault="00AB70EB">
      <w:pPr>
        <w:ind w:left="450" w:firstLine="450"/>
        <w:jc w:val="center"/>
      </w:pPr>
      <m:oMathPara>
        <m:oMath>
          <m:r>
            <w:rPr>
              <w:rFonts w:ascii="Cambria Math" w:hAnsi="Cambria Math"/>
            </w:rPr>
            <m:t>-14,05812≤</m:t>
          </m:r>
          <m:sSub>
            <m:sSubPr>
              <m:ctrlPr>
                <w:rPr>
                  <w:rFonts w:ascii="Cambria Math" w:hAnsi="Cambria Math"/>
                </w:rPr>
              </m:ctrlPr>
            </m:sSubPr>
            <m:e>
              <m:r>
                <w:rPr>
                  <w:rFonts w:ascii="Cambria Math" w:hAnsi="Cambria Math"/>
                </w:rPr>
                <m:t>τ</m:t>
              </m:r>
            </m:e>
            <m:sub>
              <m:r>
                <w:rPr>
                  <w:rFonts w:ascii="Cambria Math" w:hAnsi="Cambria Math"/>
                </w:rPr>
                <m:t>22</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32</m:t>
              </m:r>
            </m:sub>
          </m:sSub>
          <m:r>
            <w:rPr>
              <w:rFonts w:ascii="Cambria Math" w:hAnsi="Cambria Math"/>
            </w:rPr>
            <m:t>≤-0.5923944</m:t>
          </m:r>
        </m:oMath>
      </m:oMathPara>
    </w:p>
    <w:p w14:paraId="7708E9D0" w14:textId="77777777" w:rsidR="009B2E55" w:rsidRDefault="00AB70EB">
      <w:pPr>
        <w:ind w:left="1440" w:firstLine="450"/>
        <w:jc w:val="both"/>
        <w:rPr>
          <w:color w:val="000000"/>
          <w:sz w:val="22"/>
          <w:szCs w:val="22"/>
        </w:rPr>
      </w:pPr>
      <w:r>
        <w:rPr>
          <w:sz w:val="22"/>
          <w:szCs w:val="22"/>
        </w:rPr>
        <w:t xml:space="preserve">Berdasarkan informasi tersebut dan tingkat signifikasi alpha 5%, maka tolak </w:t>
      </w:r>
      <m:oMath>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0</m:t>
            </m:r>
          </m:sub>
        </m:sSub>
      </m:oMath>
      <w:r>
        <w:rPr>
          <w:sz w:val="22"/>
          <w:szCs w:val="22"/>
        </w:rPr>
        <w:t xml:space="preserve"> yang berarti terdapat perbedaan signifikan pada variabel IPM  dalam provinsi Jawa Barat dan DI Yogyakarta. Nilai didapatkan dengan tanda negative(-) yang berarti rata-rata IPM provinsi DI Yogyakarta lebih besar daripada provinsi Jawa Barat.</w:t>
      </w:r>
    </w:p>
    <w:p w14:paraId="51188C81" w14:textId="06650C37" w:rsidR="009B2E55" w:rsidRDefault="009B2E55" w:rsidP="00567558">
      <w:pPr>
        <w:jc w:val="both"/>
        <w:rPr>
          <w:sz w:val="20"/>
          <w:szCs w:val="20"/>
        </w:rPr>
      </w:pPr>
    </w:p>
    <w:p w14:paraId="6A55C770" w14:textId="604B5FF7" w:rsidR="00B641BA" w:rsidRPr="00B641BA" w:rsidRDefault="00B641BA" w:rsidP="00B641BA">
      <w:pPr>
        <w:keepNext/>
        <w:pBdr>
          <w:top w:val="nil"/>
          <w:left w:val="nil"/>
          <w:bottom w:val="nil"/>
          <w:right w:val="nil"/>
          <w:between w:val="nil"/>
        </w:pBdr>
        <w:spacing w:before="240" w:after="240"/>
        <w:jc w:val="both"/>
        <w:rPr>
          <w:b/>
          <w:color w:val="000000"/>
        </w:rPr>
      </w:pPr>
      <w:r>
        <w:rPr>
          <w:b/>
          <w:color w:val="000000"/>
        </w:rPr>
        <w:t>KESIMPULAN</w:t>
      </w:r>
    </w:p>
    <w:p w14:paraId="6D925300" w14:textId="0ED8EE68" w:rsidR="00B641BA" w:rsidRPr="00B641BA" w:rsidRDefault="00B641BA" w:rsidP="00B641BA">
      <w:pPr>
        <w:ind w:firstLine="426"/>
        <w:jc w:val="both"/>
        <w:rPr>
          <w:sz w:val="22"/>
          <w:szCs w:val="22"/>
        </w:rPr>
      </w:pPr>
      <w:r w:rsidRPr="00B641BA">
        <w:rPr>
          <w:sz w:val="22"/>
          <w:szCs w:val="22"/>
        </w:rPr>
        <w:t>Dari pengujian yang telah dilakukan, dapat diambil kesimpulan bahwa terdapat perbedaan rata-rata gini rasio dari ketiga provinsi tersebut, yaitu rata-rata gini rasio dari Provinsi Jawa Timur lebih rendah daripada Provinsi Jawa Barat dan D.I. Yogyakarta. Selain itu, dapat disimpulkan pula bahwa terdapat perbedaan rata-rata IPM dari ketiga provinsi tersebut, yaitu rata-rata IPM dari Provinsi D.I. Yogyakarta lebih tinggi dari Provinsi Jawa Timur dan Jawa Barat.</w:t>
      </w:r>
    </w:p>
    <w:p w14:paraId="0E0A55E5" w14:textId="3D8DDF86" w:rsidR="00B641BA" w:rsidRDefault="00B641BA" w:rsidP="00567558">
      <w:pPr>
        <w:jc w:val="both"/>
        <w:rPr>
          <w:sz w:val="20"/>
          <w:szCs w:val="20"/>
        </w:rPr>
      </w:pPr>
    </w:p>
    <w:p w14:paraId="4BD4341A" w14:textId="789A1C3C" w:rsidR="00B641BA" w:rsidRDefault="00B641BA" w:rsidP="00B641BA">
      <w:pPr>
        <w:keepNext/>
        <w:pBdr>
          <w:top w:val="nil"/>
          <w:left w:val="nil"/>
          <w:bottom w:val="nil"/>
          <w:right w:val="nil"/>
          <w:between w:val="nil"/>
        </w:pBdr>
        <w:spacing w:before="240" w:after="240"/>
        <w:jc w:val="both"/>
        <w:rPr>
          <w:b/>
          <w:color w:val="000000"/>
        </w:rPr>
      </w:pPr>
      <w:r>
        <w:rPr>
          <w:b/>
          <w:color w:val="000000"/>
        </w:rPr>
        <w:t>DAFTAR PUSTAKA</w:t>
      </w:r>
    </w:p>
    <w:p w14:paraId="0BBBD09C" w14:textId="727892B1" w:rsidR="00BB4DCA" w:rsidRDefault="00BB4DCA" w:rsidP="00294F2E">
      <w:pPr>
        <w:ind w:left="426" w:hanging="426"/>
        <w:jc w:val="both"/>
        <w:rPr>
          <w:iCs/>
          <w:sz w:val="22"/>
          <w:szCs w:val="22"/>
        </w:rPr>
      </w:pPr>
      <w:r w:rsidRPr="00BB4DCA">
        <w:rPr>
          <w:iCs/>
          <w:sz w:val="22"/>
          <w:szCs w:val="22"/>
        </w:rPr>
        <w:t>Rencher,</w:t>
      </w:r>
      <w:r w:rsidR="00B06BCD" w:rsidRPr="00B06BCD">
        <w:rPr>
          <w:iCs/>
          <w:sz w:val="22"/>
          <w:szCs w:val="22"/>
        </w:rPr>
        <w:t xml:space="preserve"> </w:t>
      </w:r>
      <w:r w:rsidR="00B06BCD" w:rsidRPr="00BB4DCA">
        <w:rPr>
          <w:iCs/>
          <w:sz w:val="22"/>
          <w:szCs w:val="22"/>
        </w:rPr>
        <w:t>Alvin C.</w:t>
      </w:r>
      <w:r w:rsidR="00B06BCD">
        <w:rPr>
          <w:iCs/>
          <w:sz w:val="22"/>
          <w:szCs w:val="22"/>
        </w:rPr>
        <w:t>,</w:t>
      </w:r>
      <w:r w:rsidRPr="00BB4DCA">
        <w:rPr>
          <w:iCs/>
          <w:sz w:val="22"/>
          <w:szCs w:val="22"/>
        </w:rPr>
        <w:t xml:space="preserve"> Christensen</w:t>
      </w:r>
      <w:r w:rsidR="00B06BCD">
        <w:rPr>
          <w:iCs/>
          <w:sz w:val="22"/>
          <w:szCs w:val="22"/>
        </w:rPr>
        <w:t xml:space="preserve">, </w:t>
      </w:r>
      <w:r w:rsidR="00B06BCD" w:rsidRPr="00BB4DCA">
        <w:rPr>
          <w:iCs/>
          <w:sz w:val="22"/>
          <w:szCs w:val="22"/>
        </w:rPr>
        <w:t>William F.</w:t>
      </w:r>
      <w:r w:rsidRPr="00BB4DCA">
        <w:rPr>
          <w:iCs/>
          <w:sz w:val="22"/>
          <w:szCs w:val="22"/>
        </w:rPr>
        <w:t xml:space="preserve"> </w:t>
      </w:r>
      <w:r>
        <w:rPr>
          <w:iCs/>
          <w:sz w:val="22"/>
          <w:szCs w:val="22"/>
        </w:rPr>
        <w:t xml:space="preserve">(2012). </w:t>
      </w:r>
      <w:r w:rsidRPr="00BB4DCA">
        <w:rPr>
          <w:i/>
          <w:sz w:val="22"/>
          <w:szCs w:val="22"/>
        </w:rPr>
        <w:t>Methods of Multivariate Analysis, Third Edition</w:t>
      </w:r>
      <w:r>
        <w:rPr>
          <w:iCs/>
          <w:sz w:val="22"/>
          <w:szCs w:val="22"/>
        </w:rPr>
        <w:t xml:space="preserve">. </w:t>
      </w:r>
      <w:r w:rsidR="00D37B6C">
        <w:rPr>
          <w:iCs/>
          <w:sz w:val="22"/>
          <w:szCs w:val="22"/>
        </w:rPr>
        <w:t xml:space="preserve">John Wiley &amp; Sons, INC., Publication. </w:t>
      </w:r>
      <w:r>
        <w:rPr>
          <w:iCs/>
          <w:sz w:val="22"/>
          <w:szCs w:val="22"/>
        </w:rPr>
        <w:t>Canada</w:t>
      </w:r>
      <w:r w:rsidR="00D37B6C">
        <w:rPr>
          <w:iCs/>
          <w:sz w:val="22"/>
          <w:szCs w:val="22"/>
        </w:rPr>
        <w:t>.</w:t>
      </w:r>
    </w:p>
    <w:p w14:paraId="2C427F51" w14:textId="26D06CF4" w:rsidR="00D37B6C" w:rsidRPr="00BB4DCA" w:rsidRDefault="00D37B6C" w:rsidP="00294F2E">
      <w:pPr>
        <w:ind w:left="426" w:hanging="426"/>
        <w:jc w:val="both"/>
        <w:rPr>
          <w:iCs/>
          <w:sz w:val="22"/>
          <w:szCs w:val="22"/>
        </w:rPr>
      </w:pPr>
      <w:r>
        <w:rPr>
          <w:iCs/>
          <w:sz w:val="22"/>
          <w:szCs w:val="22"/>
        </w:rPr>
        <w:t>Johnson</w:t>
      </w:r>
      <w:r w:rsidR="00B06BCD">
        <w:rPr>
          <w:iCs/>
          <w:sz w:val="22"/>
          <w:szCs w:val="22"/>
        </w:rPr>
        <w:t xml:space="preserve">, Richard A., Winchern, Dean W. (2002). </w:t>
      </w:r>
      <w:r w:rsidR="00B06BCD" w:rsidRPr="00B06BCD">
        <w:rPr>
          <w:i/>
          <w:sz w:val="22"/>
          <w:szCs w:val="22"/>
        </w:rPr>
        <w:t>Applied Multivariate Statistical Analysis, Fifth Edition</w:t>
      </w:r>
      <w:r w:rsidR="00B06BCD">
        <w:rPr>
          <w:iCs/>
          <w:sz w:val="22"/>
          <w:szCs w:val="22"/>
        </w:rPr>
        <w:t>. Prentice Hall, INC., Upper Saddle River. New Jersey</w:t>
      </w:r>
    </w:p>
    <w:sectPr w:rsidR="00D37B6C" w:rsidRPr="00BB4DCA">
      <w:headerReference w:type="even" r:id="rId24"/>
      <w:footerReference w:type="even" r:id="rId25"/>
      <w:footerReference w:type="default" r:id="rId26"/>
      <w:type w:val="continuous"/>
      <w:pgSz w:w="11907" w:h="16839"/>
      <w:pgMar w:top="1134" w:right="850" w:bottom="1138" w:left="1138" w:header="706"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908EE" w14:textId="77777777" w:rsidR="00034B41" w:rsidRDefault="00034B41">
      <w:r>
        <w:separator/>
      </w:r>
    </w:p>
  </w:endnote>
  <w:endnote w:type="continuationSeparator" w:id="0">
    <w:p w14:paraId="6FF97CA1" w14:textId="77777777" w:rsidR="00034B41" w:rsidRDefault="00034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Gungsuh">
    <w:altName w:val="Gungsuh"/>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E3DF5" w14:textId="77777777" w:rsidR="009B2E55" w:rsidRDefault="00AB70EB">
    <w:pPr>
      <w:pBdr>
        <w:top w:val="nil"/>
        <w:left w:val="nil"/>
        <w:bottom w:val="nil"/>
        <w:right w:val="nil"/>
        <w:between w:val="nil"/>
      </w:pBdr>
      <w:tabs>
        <w:tab w:val="center" w:pos="4680"/>
        <w:tab w:val="right" w:pos="9360"/>
      </w:tabs>
      <w:rPr>
        <w:color w:val="000000"/>
        <w:sz w:val="20"/>
        <w:szCs w:val="20"/>
      </w:rPr>
    </w:pPr>
    <w:r>
      <w:rPr>
        <w:color w:val="000000"/>
        <w:sz w:val="20"/>
        <w:szCs w:val="20"/>
      </w:rPr>
      <w:fldChar w:fldCharType="begin"/>
    </w:r>
    <w:r>
      <w:rPr>
        <w:color w:val="000000"/>
        <w:sz w:val="20"/>
        <w:szCs w:val="20"/>
      </w:rPr>
      <w:instrText>PAGE</w:instrText>
    </w:r>
    <w:r w:rsidR="00034B41">
      <w:rPr>
        <w:color w:val="000000"/>
        <w:sz w:val="20"/>
        <w:szCs w:val="20"/>
      </w:rPr>
      <w:fldChar w:fldCharType="separate"/>
    </w:r>
    <w:r>
      <w:rPr>
        <w:color w:val="000000"/>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01761" w14:textId="77777777" w:rsidR="009B2E55" w:rsidRDefault="00AB70EB">
    <w:pPr>
      <w:pBdr>
        <w:top w:val="nil"/>
        <w:left w:val="nil"/>
        <w:bottom w:val="nil"/>
        <w:right w:val="nil"/>
        <w:between w:val="nil"/>
      </w:pBdr>
      <w:tabs>
        <w:tab w:val="center" w:pos="4680"/>
        <w:tab w:val="right" w:pos="9360"/>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345FBE">
      <w:rPr>
        <w:noProof/>
        <w:color w:val="000000"/>
        <w:sz w:val="16"/>
        <w:szCs w:val="16"/>
      </w:rPr>
      <w:t>1</w:t>
    </w:r>
    <w:r>
      <w:rPr>
        <w:color w:val="000000"/>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B185E" w14:textId="77777777" w:rsidR="009B2E55" w:rsidRDefault="009B2E55">
    <w:pPr>
      <w:pBdr>
        <w:top w:val="nil"/>
        <w:left w:val="nil"/>
        <w:bottom w:val="nil"/>
        <w:right w:val="nil"/>
        <w:between w:val="nil"/>
      </w:pBdr>
      <w:tabs>
        <w:tab w:val="center" w:pos="4680"/>
        <w:tab w:val="right" w:pos="9360"/>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11B1A" w14:textId="77777777" w:rsidR="009B2E55" w:rsidRDefault="00AB70EB">
    <w:pPr>
      <w:pBdr>
        <w:top w:val="nil"/>
        <w:left w:val="nil"/>
        <w:bottom w:val="nil"/>
        <w:right w:val="nil"/>
        <w:between w:val="nil"/>
      </w:pBdr>
      <w:tabs>
        <w:tab w:val="center" w:pos="4680"/>
        <w:tab w:val="right" w:pos="9360"/>
      </w:tabs>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345FBE">
      <w:rPr>
        <w:noProof/>
        <w:color w:val="000000"/>
        <w:sz w:val="20"/>
        <w:szCs w:val="20"/>
      </w:rPr>
      <w:t>2</w:t>
    </w:r>
    <w:r>
      <w:rPr>
        <w:color w:val="000000"/>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510A3" w14:textId="77777777" w:rsidR="009B2E55" w:rsidRDefault="00AB70EB">
    <w:pPr>
      <w:pBdr>
        <w:top w:val="nil"/>
        <w:left w:val="nil"/>
        <w:bottom w:val="nil"/>
        <w:right w:val="nil"/>
        <w:between w:val="nil"/>
      </w:pBdr>
      <w:tabs>
        <w:tab w:val="center" w:pos="4680"/>
        <w:tab w:val="right" w:pos="9360"/>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345FBE">
      <w:rPr>
        <w:noProof/>
        <w:color w:val="000000"/>
        <w:sz w:val="16"/>
        <w:szCs w:val="16"/>
      </w:rPr>
      <w:t>3</w:t>
    </w:r>
    <w:r>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1A71E" w14:textId="77777777" w:rsidR="00034B41" w:rsidRDefault="00034B41">
      <w:r>
        <w:separator/>
      </w:r>
    </w:p>
  </w:footnote>
  <w:footnote w:type="continuationSeparator" w:id="0">
    <w:p w14:paraId="112299A7" w14:textId="77777777" w:rsidR="00034B41" w:rsidRDefault="00034B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6F69C" w14:textId="77777777" w:rsidR="009B2E55" w:rsidRDefault="00AB70EB">
    <w:pPr>
      <w:pBdr>
        <w:top w:val="nil"/>
        <w:left w:val="nil"/>
        <w:bottom w:val="nil"/>
        <w:right w:val="nil"/>
        <w:between w:val="nil"/>
      </w:pBdr>
      <w:tabs>
        <w:tab w:val="center" w:pos="4680"/>
        <w:tab w:val="right" w:pos="9360"/>
      </w:tabs>
      <w:jc w:val="right"/>
      <w:rPr>
        <w:color w:val="000000"/>
      </w:rPr>
    </w:pPr>
    <w:r>
      <w:rPr>
        <w:i/>
        <w:color w:val="000000"/>
        <w:sz w:val="16"/>
        <w:szCs w:val="16"/>
      </w:rPr>
      <w:t>Seminar Nasional Official Statistics 2021: … (menunggu tema semnas)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7CB65" w14:textId="77777777" w:rsidR="009B2E55" w:rsidRDefault="00AB70EB">
    <w:pPr>
      <w:tabs>
        <w:tab w:val="center" w:pos="4680"/>
        <w:tab w:val="right" w:pos="9360"/>
      </w:tabs>
      <w:spacing w:line="276" w:lineRule="auto"/>
      <w:rPr>
        <w:i/>
        <w:color w:val="000000"/>
        <w:sz w:val="18"/>
        <w:szCs w:val="18"/>
      </w:rPr>
    </w:pPr>
    <w:r>
      <w:rPr>
        <w:i/>
        <w:sz w:val="20"/>
        <w:szCs w:val="20"/>
      </w:rPr>
      <w:t>Analisis Perbandingan Pembangunan Manusia Menggunakan MANOVA…………</w:t>
    </w:r>
    <w:r>
      <w:rPr>
        <w:i/>
        <w:color w:val="000000"/>
        <w:sz w:val="20"/>
        <w:szCs w:val="20"/>
      </w:rPr>
      <w:t>(</w:t>
    </w:r>
    <w:r>
      <w:rPr>
        <w:i/>
        <w:sz w:val="20"/>
        <w:szCs w:val="20"/>
      </w:rPr>
      <w:t>Arya S., Arya F., Habibullah W., H.R. Putri</w:t>
    </w:r>
    <w:r>
      <w:rPr>
        <w:i/>
        <w:color w:val="000000"/>
        <w:sz w:val="18"/>
        <w:szCs w:val="18"/>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B5019" w14:textId="77777777" w:rsidR="009B2E55" w:rsidRDefault="009B2E55">
    <w:pPr>
      <w:pBdr>
        <w:top w:val="nil"/>
        <w:left w:val="nil"/>
        <w:bottom w:val="nil"/>
        <w:right w:val="nil"/>
        <w:between w:val="nil"/>
      </w:pBdr>
      <w:tabs>
        <w:tab w:val="center" w:pos="4680"/>
        <w:tab w:val="right" w:pos="9360"/>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7E7B6" w14:textId="4B5DCA75" w:rsidR="009B2E55" w:rsidRPr="0026686E" w:rsidRDefault="0026686E" w:rsidP="0026686E">
    <w:pPr>
      <w:tabs>
        <w:tab w:val="center" w:pos="4680"/>
        <w:tab w:val="right" w:pos="9360"/>
      </w:tabs>
      <w:spacing w:line="276" w:lineRule="auto"/>
      <w:rPr>
        <w:i/>
        <w:color w:val="000000"/>
        <w:sz w:val="18"/>
        <w:szCs w:val="18"/>
      </w:rPr>
    </w:pPr>
    <w:r>
      <w:rPr>
        <w:i/>
        <w:sz w:val="20"/>
        <w:szCs w:val="20"/>
      </w:rPr>
      <w:t>Analisis Perbandingan Pembangunan Manusia Menggunakan MANOVA…………</w:t>
    </w:r>
    <w:r>
      <w:rPr>
        <w:i/>
        <w:color w:val="000000"/>
        <w:sz w:val="20"/>
        <w:szCs w:val="20"/>
      </w:rPr>
      <w:t>(</w:t>
    </w:r>
    <w:r>
      <w:rPr>
        <w:i/>
        <w:sz w:val="20"/>
        <w:szCs w:val="20"/>
      </w:rPr>
      <w:t>Arya S., Arya F., Habibullah W., H.R. Putri</w:t>
    </w:r>
    <w:r>
      <w:rPr>
        <w:i/>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22CA5"/>
    <w:multiLevelType w:val="multilevel"/>
    <w:tmpl w:val="F2462B06"/>
    <w:lvl w:ilvl="0">
      <w:start w:val="1"/>
      <w:numFmt w:val="bullet"/>
      <w:lvlText w:val="●"/>
      <w:lvlJc w:val="left"/>
      <w:pPr>
        <w:ind w:left="1152" w:hanging="360"/>
      </w:pPr>
      <w:rPr>
        <w:rFonts w:ascii="Noto Sans Symbols" w:eastAsia="Noto Sans Symbols" w:hAnsi="Noto Sans Symbols" w:cs="Noto Sans Symbols"/>
      </w:rPr>
    </w:lvl>
    <w:lvl w:ilvl="1">
      <w:start w:val="1"/>
      <w:numFmt w:val="bullet"/>
      <w:lvlText w:val="o"/>
      <w:lvlJc w:val="left"/>
      <w:pPr>
        <w:ind w:left="1872" w:hanging="360"/>
      </w:pPr>
      <w:rPr>
        <w:rFonts w:ascii="Courier New" w:eastAsia="Courier New" w:hAnsi="Courier New" w:cs="Courier New"/>
      </w:rPr>
    </w:lvl>
    <w:lvl w:ilvl="2">
      <w:start w:val="1"/>
      <w:numFmt w:val="bullet"/>
      <w:lvlText w:val="▪"/>
      <w:lvlJc w:val="left"/>
      <w:pPr>
        <w:ind w:left="2592" w:hanging="360"/>
      </w:pPr>
      <w:rPr>
        <w:rFonts w:ascii="Noto Sans Symbols" w:eastAsia="Noto Sans Symbols" w:hAnsi="Noto Sans Symbols" w:cs="Noto Sans Symbols"/>
      </w:rPr>
    </w:lvl>
    <w:lvl w:ilvl="3">
      <w:start w:val="1"/>
      <w:numFmt w:val="bullet"/>
      <w:lvlText w:val="●"/>
      <w:lvlJc w:val="left"/>
      <w:pPr>
        <w:ind w:left="3312" w:hanging="360"/>
      </w:pPr>
      <w:rPr>
        <w:rFonts w:ascii="Noto Sans Symbols" w:eastAsia="Noto Sans Symbols" w:hAnsi="Noto Sans Symbols" w:cs="Noto Sans Symbols"/>
      </w:rPr>
    </w:lvl>
    <w:lvl w:ilvl="4">
      <w:start w:val="1"/>
      <w:numFmt w:val="bullet"/>
      <w:lvlText w:val="o"/>
      <w:lvlJc w:val="left"/>
      <w:pPr>
        <w:ind w:left="4032" w:hanging="360"/>
      </w:pPr>
      <w:rPr>
        <w:rFonts w:ascii="Courier New" w:eastAsia="Courier New" w:hAnsi="Courier New" w:cs="Courier New"/>
      </w:rPr>
    </w:lvl>
    <w:lvl w:ilvl="5">
      <w:start w:val="1"/>
      <w:numFmt w:val="bullet"/>
      <w:lvlText w:val="▪"/>
      <w:lvlJc w:val="left"/>
      <w:pPr>
        <w:ind w:left="4752" w:hanging="360"/>
      </w:pPr>
      <w:rPr>
        <w:rFonts w:ascii="Noto Sans Symbols" w:eastAsia="Noto Sans Symbols" w:hAnsi="Noto Sans Symbols" w:cs="Noto Sans Symbols"/>
      </w:rPr>
    </w:lvl>
    <w:lvl w:ilvl="6">
      <w:start w:val="1"/>
      <w:numFmt w:val="bullet"/>
      <w:lvlText w:val="●"/>
      <w:lvlJc w:val="left"/>
      <w:pPr>
        <w:ind w:left="5472" w:hanging="360"/>
      </w:pPr>
      <w:rPr>
        <w:rFonts w:ascii="Noto Sans Symbols" w:eastAsia="Noto Sans Symbols" w:hAnsi="Noto Sans Symbols" w:cs="Noto Sans Symbols"/>
      </w:rPr>
    </w:lvl>
    <w:lvl w:ilvl="7">
      <w:start w:val="1"/>
      <w:numFmt w:val="bullet"/>
      <w:lvlText w:val="o"/>
      <w:lvlJc w:val="left"/>
      <w:pPr>
        <w:ind w:left="6192" w:hanging="360"/>
      </w:pPr>
      <w:rPr>
        <w:rFonts w:ascii="Courier New" w:eastAsia="Courier New" w:hAnsi="Courier New" w:cs="Courier New"/>
      </w:rPr>
    </w:lvl>
    <w:lvl w:ilvl="8">
      <w:start w:val="1"/>
      <w:numFmt w:val="bullet"/>
      <w:lvlText w:val="▪"/>
      <w:lvlJc w:val="left"/>
      <w:pPr>
        <w:ind w:left="6912" w:hanging="360"/>
      </w:pPr>
      <w:rPr>
        <w:rFonts w:ascii="Noto Sans Symbols" w:eastAsia="Noto Sans Symbols" w:hAnsi="Noto Sans Symbols" w:cs="Noto Sans Symbols"/>
      </w:rPr>
    </w:lvl>
  </w:abstractNum>
  <w:abstractNum w:abstractNumId="1" w15:restartNumberingAfterBreak="0">
    <w:nsid w:val="2BDC4AB9"/>
    <w:multiLevelType w:val="multilevel"/>
    <w:tmpl w:val="CF441552"/>
    <w:lvl w:ilvl="0">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FC66B0F"/>
    <w:multiLevelType w:val="multilevel"/>
    <w:tmpl w:val="F7703328"/>
    <w:lvl w:ilvl="0">
      <w:numFmt w:val="bullet"/>
      <w:lvlText w:val="-"/>
      <w:lvlJc w:val="left"/>
      <w:pPr>
        <w:ind w:left="1211" w:hanging="360"/>
      </w:pPr>
      <w:rPr>
        <w:rFonts w:ascii="Times New Roman" w:eastAsia="Times New Roman" w:hAnsi="Times New Roman" w:cs="Times New Roman"/>
      </w:rPr>
    </w:lvl>
    <w:lvl w:ilvl="1">
      <w:start w:val="1"/>
      <w:numFmt w:val="bullet"/>
      <w:lvlText w:val="o"/>
      <w:lvlJc w:val="left"/>
      <w:pPr>
        <w:ind w:left="1931" w:hanging="360"/>
      </w:pPr>
      <w:rPr>
        <w:rFonts w:ascii="Courier New" w:eastAsia="Courier New" w:hAnsi="Courier New" w:cs="Courier New"/>
      </w:rPr>
    </w:lvl>
    <w:lvl w:ilvl="2">
      <w:start w:val="1"/>
      <w:numFmt w:val="bullet"/>
      <w:lvlText w:val="▪"/>
      <w:lvlJc w:val="left"/>
      <w:pPr>
        <w:ind w:left="2651" w:hanging="360"/>
      </w:pPr>
      <w:rPr>
        <w:rFonts w:ascii="Noto Sans Symbols" w:eastAsia="Noto Sans Symbols" w:hAnsi="Noto Sans Symbols" w:cs="Noto Sans Symbols"/>
      </w:rPr>
    </w:lvl>
    <w:lvl w:ilvl="3">
      <w:start w:val="1"/>
      <w:numFmt w:val="bullet"/>
      <w:lvlText w:val="●"/>
      <w:lvlJc w:val="left"/>
      <w:pPr>
        <w:ind w:left="3371" w:hanging="360"/>
      </w:pPr>
      <w:rPr>
        <w:rFonts w:ascii="Noto Sans Symbols" w:eastAsia="Noto Sans Symbols" w:hAnsi="Noto Sans Symbols" w:cs="Noto Sans Symbols"/>
      </w:rPr>
    </w:lvl>
    <w:lvl w:ilvl="4">
      <w:start w:val="1"/>
      <w:numFmt w:val="bullet"/>
      <w:lvlText w:val="o"/>
      <w:lvlJc w:val="left"/>
      <w:pPr>
        <w:ind w:left="4091" w:hanging="360"/>
      </w:pPr>
      <w:rPr>
        <w:rFonts w:ascii="Courier New" w:eastAsia="Courier New" w:hAnsi="Courier New" w:cs="Courier New"/>
      </w:rPr>
    </w:lvl>
    <w:lvl w:ilvl="5">
      <w:start w:val="1"/>
      <w:numFmt w:val="bullet"/>
      <w:lvlText w:val="▪"/>
      <w:lvlJc w:val="left"/>
      <w:pPr>
        <w:ind w:left="4811" w:hanging="360"/>
      </w:pPr>
      <w:rPr>
        <w:rFonts w:ascii="Noto Sans Symbols" w:eastAsia="Noto Sans Symbols" w:hAnsi="Noto Sans Symbols" w:cs="Noto Sans Symbols"/>
      </w:rPr>
    </w:lvl>
    <w:lvl w:ilvl="6">
      <w:start w:val="1"/>
      <w:numFmt w:val="bullet"/>
      <w:lvlText w:val="●"/>
      <w:lvlJc w:val="left"/>
      <w:pPr>
        <w:ind w:left="5531" w:hanging="360"/>
      </w:pPr>
      <w:rPr>
        <w:rFonts w:ascii="Noto Sans Symbols" w:eastAsia="Noto Sans Symbols" w:hAnsi="Noto Sans Symbols" w:cs="Noto Sans Symbols"/>
      </w:rPr>
    </w:lvl>
    <w:lvl w:ilvl="7">
      <w:start w:val="1"/>
      <w:numFmt w:val="bullet"/>
      <w:lvlText w:val="o"/>
      <w:lvlJc w:val="left"/>
      <w:pPr>
        <w:ind w:left="6251" w:hanging="360"/>
      </w:pPr>
      <w:rPr>
        <w:rFonts w:ascii="Courier New" w:eastAsia="Courier New" w:hAnsi="Courier New" w:cs="Courier New"/>
      </w:rPr>
    </w:lvl>
    <w:lvl w:ilvl="8">
      <w:start w:val="1"/>
      <w:numFmt w:val="bullet"/>
      <w:lvlText w:val="▪"/>
      <w:lvlJc w:val="left"/>
      <w:pPr>
        <w:ind w:left="6971" w:hanging="360"/>
      </w:pPr>
      <w:rPr>
        <w:rFonts w:ascii="Noto Sans Symbols" w:eastAsia="Noto Sans Symbols" w:hAnsi="Noto Sans Symbols" w:cs="Noto Sans Symbols"/>
      </w:rPr>
    </w:lvl>
  </w:abstractNum>
  <w:abstractNum w:abstractNumId="3" w15:restartNumberingAfterBreak="0">
    <w:nsid w:val="33E76A6A"/>
    <w:multiLevelType w:val="multilevel"/>
    <w:tmpl w:val="5D5E67E8"/>
    <w:lvl w:ilvl="0">
      <w:start w:val="1"/>
      <w:numFmt w:val="decimal"/>
      <w:lvlText w:val="%1."/>
      <w:lvlJc w:val="left"/>
      <w:pPr>
        <w:ind w:left="1152" w:hanging="360"/>
      </w:p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4" w15:restartNumberingAfterBreak="0">
    <w:nsid w:val="4AC9328D"/>
    <w:multiLevelType w:val="multilevel"/>
    <w:tmpl w:val="1C5EB8A0"/>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num w:numId="1" w16cid:durableId="1986546972">
    <w:abstractNumId w:val="2"/>
  </w:num>
  <w:num w:numId="2" w16cid:durableId="955719515">
    <w:abstractNumId w:val="4"/>
  </w:num>
  <w:num w:numId="3" w16cid:durableId="1643270190">
    <w:abstractNumId w:val="0"/>
  </w:num>
  <w:num w:numId="4" w16cid:durableId="784692214">
    <w:abstractNumId w:val="1"/>
  </w:num>
  <w:num w:numId="5" w16cid:durableId="16230778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E55"/>
    <w:rsid w:val="00014CB1"/>
    <w:rsid w:val="00014CB9"/>
    <w:rsid w:val="00017A05"/>
    <w:rsid w:val="00034B41"/>
    <w:rsid w:val="00050D51"/>
    <w:rsid w:val="00052113"/>
    <w:rsid w:val="0007413C"/>
    <w:rsid w:val="0007428A"/>
    <w:rsid w:val="00084CA2"/>
    <w:rsid w:val="000A12D7"/>
    <w:rsid w:val="000F52FC"/>
    <w:rsid w:val="000F61D4"/>
    <w:rsid w:val="000F6BC2"/>
    <w:rsid w:val="0012190A"/>
    <w:rsid w:val="001E4B44"/>
    <w:rsid w:val="00206EB3"/>
    <w:rsid w:val="002575E0"/>
    <w:rsid w:val="0026686E"/>
    <w:rsid w:val="0027544B"/>
    <w:rsid w:val="00275F76"/>
    <w:rsid w:val="00280662"/>
    <w:rsid w:val="00281AA0"/>
    <w:rsid w:val="00294F2E"/>
    <w:rsid w:val="002A7577"/>
    <w:rsid w:val="003147F2"/>
    <w:rsid w:val="00345FBE"/>
    <w:rsid w:val="003471BA"/>
    <w:rsid w:val="00392549"/>
    <w:rsid w:val="003B6FFF"/>
    <w:rsid w:val="003C20C9"/>
    <w:rsid w:val="003D0DC0"/>
    <w:rsid w:val="003D187C"/>
    <w:rsid w:val="003F6358"/>
    <w:rsid w:val="00401242"/>
    <w:rsid w:val="00424C58"/>
    <w:rsid w:val="004A47FD"/>
    <w:rsid w:val="004F7EA2"/>
    <w:rsid w:val="005026D9"/>
    <w:rsid w:val="00512499"/>
    <w:rsid w:val="00567558"/>
    <w:rsid w:val="005A4347"/>
    <w:rsid w:val="005C3AB5"/>
    <w:rsid w:val="005C576B"/>
    <w:rsid w:val="00624C97"/>
    <w:rsid w:val="006431C9"/>
    <w:rsid w:val="00686E48"/>
    <w:rsid w:val="006939FE"/>
    <w:rsid w:val="00695163"/>
    <w:rsid w:val="006960B2"/>
    <w:rsid w:val="006B48D5"/>
    <w:rsid w:val="006F2A92"/>
    <w:rsid w:val="00730148"/>
    <w:rsid w:val="00732BCE"/>
    <w:rsid w:val="007C0809"/>
    <w:rsid w:val="007D5889"/>
    <w:rsid w:val="007E036A"/>
    <w:rsid w:val="0080197F"/>
    <w:rsid w:val="008319BF"/>
    <w:rsid w:val="0085741E"/>
    <w:rsid w:val="00892B22"/>
    <w:rsid w:val="009459BB"/>
    <w:rsid w:val="00952950"/>
    <w:rsid w:val="00952BA7"/>
    <w:rsid w:val="00976A19"/>
    <w:rsid w:val="00994AA8"/>
    <w:rsid w:val="009A7430"/>
    <w:rsid w:val="009B24EA"/>
    <w:rsid w:val="009B2E55"/>
    <w:rsid w:val="009B54F4"/>
    <w:rsid w:val="009B6CB0"/>
    <w:rsid w:val="009B6EEC"/>
    <w:rsid w:val="009C0366"/>
    <w:rsid w:val="009E1A27"/>
    <w:rsid w:val="00A134BB"/>
    <w:rsid w:val="00A2715F"/>
    <w:rsid w:val="00A50C57"/>
    <w:rsid w:val="00A70C9A"/>
    <w:rsid w:val="00A77FE7"/>
    <w:rsid w:val="00A86497"/>
    <w:rsid w:val="00A94D09"/>
    <w:rsid w:val="00AB30E5"/>
    <w:rsid w:val="00AB70EB"/>
    <w:rsid w:val="00B06BCD"/>
    <w:rsid w:val="00B33A05"/>
    <w:rsid w:val="00B641BA"/>
    <w:rsid w:val="00BA3353"/>
    <w:rsid w:val="00BB05EF"/>
    <w:rsid w:val="00BB4DCA"/>
    <w:rsid w:val="00BC2DDE"/>
    <w:rsid w:val="00BD25E9"/>
    <w:rsid w:val="00C43651"/>
    <w:rsid w:val="00C6359A"/>
    <w:rsid w:val="00CA0A80"/>
    <w:rsid w:val="00CC399E"/>
    <w:rsid w:val="00CD3951"/>
    <w:rsid w:val="00CE0BDD"/>
    <w:rsid w:val="00CF667A"/>
    <w:rsid w:val="00CF7613"/>
    <w:rsid w:val="00D1783F"/>
    <w:rsid w:val="00D206D5"/>
    <w:rsid w:val="00D37B6C"/>
    <w:rsid w:val="00DD3EF6"/>
    <w:rsid w:val="00E415F0"/>
    <w:rsid w:val="00E57822"/>
    <w:rsid w:val="00E730A4"/>
    <w:rsid w:val="00E900C5"/>
    <w:rsid w:val="00EE2E04"/>
    <w:rsid w:val="00F30D2E"/>
    <w:rsid w:val="00F86C6E"/>
    <w:rsid w:val="00FE3D5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0F0C5"/>
  <w15:docId w15:val="{58B25609-23F5-41A3-A2AD-CF4D7AF81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uthor"/>
    <w:qFormat/>
    <w:rsid w:val="002F0E6A"/>
    <w:rPr>
      <w:lang w:eastAsia="en-GB"/>
    </w:rPr>
  </w:style>
  <w:style w:type="paragraph" w:styleId="Heading1">
    <w:name w:val="heading 1"/>
    <w:basedOn w:val="Normal"/>
    <w:next w:val="Normal"/>
    <w:link w:val="Heading1Char"/>
    <w:uiPriority w:val="9"/>
    <w:qFormat/>
    <w:pPr>
      <w:keepNext/>
      <w:jc w:val="center"/>
      <w:outlineLvl w:val="0"/>
    </w:pPr>
    <w:rPr>
      <w:rFonts w:ascii="Arial" w:hAnsi="Arial" w:cs="Tahoma"/>
      <w:u w:val="single"/>
      <w:lang w:val="id-ID" w:eastAsia="en-ID"/>
    </w:rPr>
  </w:style>
  <w:style w:type="paragraph" w:styleId="Heading2">
    <w:name w:val="heading 2"/>
    <w:basedOn w:val="Normal"/>
    <w:next w:val="Normal"/>
    <w:link w:val="Heading2Char"/>
    <w:uiPriority w:val="9"/>
    <w:semiHidden/>
    <w:unhideWhenUsed/>
    <w:qFormat/>
    <w:pPr>
      <w:keepNext/>
      <w:spacing w:before="240" w:after="60"/>
      <w:jc w:val="center"/>
      <w:outlineLvl w:val="1"/>
    </w:pPr>
    <w:rPr>
      <w:rFonts w:ascii="Cambria" w:hAnsi="Cambria" w:cs="Tahoma"/>
      <w:b/>
      <w:bCs/>
      <w:i/>
      <w:iCs/>
      <w:sz w:val="28"/>
      <w:szCs w:val="28"/>
      <w:lang w:val="id-ID" w:eastAsia="en-ID"/>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jc w:val="center"/>
    </w:pPr>
    <w:rPr>
      <w:rFonts w:ascii="Tahoma" w:eastAsia="Tahoma" w:hAnsi="Tahoma" w:cs="Tahoma"/>
      <w:b/>
      <w:sz w:val="72"/>
      <w:szCs w:val="72"/>
      <w:lang w:val="id-ID" w:eastAsia="en-ID"/>
    </w:rPr>
  </w:style>
  <w:style w:type="character" w:styleId="Hyperlink">
    <w:name w:val="Hyperlink"/>
    <w:uiPriority w:val="99"/>
    <w:unhideWhenUsed/>
    <w:rPr>
      <w:color w:val="0000FF"/>
      <w:u w:val="single"/>
    </w:rPr>
  </w:style>
  <w:style w:type="character" w:customStyle="1" w:styleId="HeaderChar">
    <w:name w:val="Header Char"/>
    <w:link w:val="Header"/>
    <w:uiPriority w:val="99"/>
    <w:rPr>
      <w:sz w:val="22"/>
      <w:szCs w:val="22"/>
    </w:rPr>
  </w:style>
  <w:style w:type="character" w:customStyle="1" w:styleId="JudulUtamaChar">
    <w:name w:val="Judul Utama Char"/>
    <w:link w:val="JudulUtama"/>
    <w:rsid w:val="009A03C1"/>
    <w:rPr>
      <w:rFonts w:ascii="Times New Roman" w:hAnsi="Times New Roman"/>
      <w:b/>
      <w:color w:val="000000"/>
      <w:sz w:val="32"/>
      <w:szCs w:val="28"/>
      <w:lang w:val="tn-ZA"/>
    </w:rPr>
  </w:style>
  <w:style w:type="character" w:customStyle="1" w:styleId="apple-converted-space">
    <w:name w:val="apple-converted-space"/>
  </w:style>
  <w:style w:type="character" w:customStyle="1" w:styleId="DocumentMapChar">
    <w:name w:val="Document Map Char"/>
    <w:link w:val="DocumentMap"/>
    <w:uiPriority w:val="99"/>
    <w:semiHidden/>
    <w:rPr>
      <w:rFonts w:ascii="Tahoma" w:hAnsi="Tahoma" w:cs="Tahoma"/>
      <w:sz w:val="16"/>
      <w:szCs w:val="16"/>
    </w:rPr>
  </w:style>
  <w:style w:type="character" w:customStyle="1" w:styleId="Heading1Char">
    <w:name w:val="Heading 1 Char"/>
    <w:link w:val="Heading1"/>
    <w:uiPriority w:val="9"/>
    <w:rPr>
      <w:rFonts w:ascii="Arial" w:eastAsia="Times New Roman" w:hAnsi="Arial" w:cs="Arial"/>
      <w:sz w:val="24"/>
      <w:szCs w:val="24"/>
      <w:u w:val="single"/>
    </w:rPr>
  </w:style>
  <w:style w:type="character" w:customStyle="1" w:styleId="BalloonTextChar">
    <w:name w:val="Balloon Text Char"/>
    <w:link w:val="BalloonText"/>
    <w:uiPriority w:val="99"/>
    <w:semiHidden/>
    <w:rPr>
      <w:rFonts w:ascii="Segoe UI" w:hAnsi="Segoe UI" w:cs="Segoe UI"/>
      <w:sz w:val="18"/>
      <w:szCs w:val="18"/>
      <w:lang w:val="en-US" w:eastAsia="en-US"/>
    </w:rPr>
  </w:style>
  <w:style w:type="character" w:customStyle="1" w:styleId="gi">
    <w:name w:val="gi"/>
    <w:basedOn w:val="DefaultParagraphFont"/>
  </w:style>
  <w:style w:type="character" w:customStyle="1" w:styleId="BodyTextIndentChar">
    <w:name w:val="Body Text Indent Char"/>
    <w:link w:val="BodyTextIndent"/>
    <w:uiPriority w:val="99"/>
    <w:semiHidden/>
    <w:rPr>
      <w:sz w:val="22"/>
      <w:szCs w:val="22"/>
    </w:rPr>
  </w:style>
  <w:style w:type="character" w:customStyle="1" w:styleId="BodyTextChar">
    <w:name w:val="Body Text Char"/>
    <w:link w:val="BodyText"/>
    <w:rPr>
      <w:rFonts w:ascii="Arial" w:eastAsia="Times New Roman" w:hAnsi="Arial"/>
      <w:sz w:val="24"/>
    </w:rPr>
  </w:style>
  <w:style w:type="character" w:customStyle="1" w:styleId="JUDULChar">
    <w:name w:val="JUDUL Char"/>
    <w:link w:val="JUDUL"/>
    <w:rPr>
      <w:rFonts w:ascii="Tahoma" w:hAnsi="Tahoma"/>
      <w:b/>
      <w:sz w:val="28"/>
      <w:szCs w:val="28"/>
    </w:rPr>
  </w:style>
  <w:style w:type="character" w:customStyle="1" w:styleId="FooterChar">
    <w:name w:val="Footer Char"/>
    <w:link w:val="Footer"/>
    <w:uiPriority w:val="99"/>
    <w:rPr>
      <w:sz w:val="22"/>
      <w:szCs w:val="22"/>
    </w:rPr>
  </w:style>
  <w:style w:type="character" w:customStyle="1" w:styleId="Heading2Char">
    <w:name w:val="Heading 2 Char"/>
    <w:link w:val="Heading2"/>
    <w:uiPriority w:val="9"/>
    <w:semiHidden/>
    <w:rPr>
      <w:rFonts w:ascii="Cambria" w:eastAsia="Times New Roman" w:hAnsi="Cambria" w:cs="Times New Roman"/>
      <w:b/>
      <w:bCs/>
      <w:i/>
      <w:iCs/>
      <w:sz w:val="28"/>
      <w:szCs w:val="28"/>
    </w:rPr>
  </w:style>
  <w:style w:type="paragraph" w:styleId="BodyTextIndent">
    <w:name w:val="Body Text Indent"/>
    <w:basedOn w:val="Normal"/>
    <w:link w:val="BodyTextIndentChar"/>
    <w:uiPriority w:val="99"/>
    <w:unhideWhenUsed/>
    <w:pPr>
      <w:spacing w:after="120"/>
      <w:ind w:left="360"/>
      <w:jc w:val="center"/>
    </w:pPr>
    <w:rPr>
      <w:rFonts w:ascii="Tahoma" w:eastAsia="Tahoma" w:hAnsi="Tahoma" w:cs="Tahoma"/>
      <w:lang w:val="id-ID" w:eastAsia="en-ID"/>
    </w:rPr>
  </w:style>
  <w:style w:type="paragraph" w:styleId="DocumentMap">
    <w:name w:val="Document Map"/>
    <w:basedOn w:val="Normal"/>
    <w:link w:val="DocumentMapChar"/>
    <w:uiPriority w:val="99"/>
    <w:unhideWhenUsed/>
    <w:pPr>
      <w:jc w:val="center"/>
    </w:pPr>
    <w:rPr>
      <w:rFonts w:ascii="Tahoma" w:eastAsia="Tahoma" w:hAnsi="Tahoma" w:cs="Tahoma"/>
      <w:sz w:val="16"/>
      <w:szCs w:val="16"/>
      <w:lang w:val="id-ID" w:eastAsia="en-ID"/>
    </w:rPr>
  </w:style>
  <w:style w:type="paragraph" w:styleId="BalloonText">
    <w:name w:val="Balloon Text"/>
    <w:basedOn w:val="Normal"/>
    <w:link w:val="BalloonTextChar"/>
    <w:uiPriority w:val="99"/>
    <w:unhideWhenUsed/>
    <w:pPr>
      <w:jc w:val="center"/>
    </w:pPr>
    <w:rPr>
      <w:rFonts w:ascii="Segoe UI" w:eastAsia="Tahoma" w:hAnsi="Segoe UI" w:cs="Tahoma"/>
      <w:sz w:val="18"/>
      <w:szCs w:val="18"/>
      <w:lang w:val="id-ID" w:eastAsia="en-ID"/>
    </w:rPr>
  </w:style>
  <w:style w:type="paragraph" w:styleId="BodyText">
    <w:name w:val="Body Text"/>
    <w:basedOn w:val="Normal"/>
    <w:link w:val="BodyTextChar"/>
    <w:pPr>
      <w:jc w:val="both"/>
    </w:pPr>
    <w:rPr>
      <w:rFonts w:ascii="Arial" w:hAnsi="Arial" w:cs="Tahoma"/>
      <w:szCs w:val="20"/>
      <w:lang w:val="id-ID" w:eastAsia="en-ID"/>
    </w:rPr>
  </w:style>
  <w:style w:type="paragraph" w:styleId="Header">
    <w:name w:val="header"/>
    <w:basedOn w:val="Normal"/>
    <w:link w:val="HeaderChar"/>
    <w:uiPriority w:val="99"/>
    <w:unhideWhenUsed/>
    <w:pPr>
      <w:tabs>
        <w:tab w:val="center" w:pos="4680"/>
        <w:tab w:val="right" w:pos="9360"/>
      </w:tabs>
      <w:jc w:val="center"/>
    </w:pPr>
    <w:rPr>
      <w:rFonts w:ascii="Tahoma" w:eastAsia="Tahoma" w:hAnsi="Tahoma" w:cs="Tahoma"/>
      <w:lang w:val="id-ID" w:eastAsia="en-ID"/>
    </w:rPr>
  </w:style>
  <w:style w:type="paragraph" w:styleId="Footer">
    <w:name w:val="footer"/>
    <w:basedOn w:val="Normal"/>
    <w:link w:val="FooterChar"/>
    <w:uiPriority w:val="99"/>
    <w:unhideWhenUsed/>
    <w:pPr>
      <w:tabs>
        <w:tab w:val="center" w:pos="4680"/>
        <w:tab w:val="right" w:pos="9360"/>
      </w:tabs>
      <w:jc w:val="center"/>
    </w:pPr>
    <w:rPr>
      <w:rFonts w:ascii="Tahoma" w:eastAsia="Tahoma" w:hAnsi="Tahoma" w:cs="Tahoma"/>
      <w:lang w:val="id-ID" w:eastAsia="en-ID"/>
    </w:rPr>
  </w:style>
  <w:style w:type="paragraph" w:customStyle="1" w:styleId="JudulUtama">
    <w:name w:val="Judul Utama"/>
    <w:basedOn w:val="Normal"/>
    <w:link w:val="JudulUtamaChar"/>
    <w:qFormat/>
    <w:rsid w:val="009A03C1"/>
    <w:pPr>
      <w:jc w:val="center"/>
    </w:pPr>
    <w:rPr>
      <w:rFonts w:eastAsia="Tahoma" w:cs="Tahoma"/>
      <w:b/>
      <w:color w:val="000000"/>
      <w:sz w:val="32"/>
      <w:szCs w:val="28"/>
      <w:lang w:val="tn-ZA" w:eastAsia="en-ID"/>
    </w:rPr>
  </w:style>
  <w:style w:type="paragraph" w:styleId="ListParagraph">
    <w:name w:val="List Paragraph"/>
    <w:basedOn w:val="Normal"/>
    <w:uiPriority w:val="34"/>
    <w:pPr>
      <w:ind w:left="720"/>
      <w:contextualSpacing/>
      <w:jc w:val="center"/>
    </w:pPr>
    <w:rPr>
      <w:rFonts w:ascii="Tahoma" w:eastAsia="Tahoma" w:hAnsi="Tahoma" w:cs="Tahoma"/>
      <w:lang w:val="id-ID" w:eastAsia="en-ID"/>
    </w:rPr>
  </w:style>
  <w:style w:type="paragraph" w:customStyle="1" w:styleId="Default">
    <w:name w:val="Default"/>
    <w:pPr>
      <w:autoSpaceDE w:val="0"/>
      <w:autoSpaceDN w:val="0"/>
      <w:adjustRightInd w:val="0"/>
    </w:pPr>
    <w:rPr>
      <w:color w:val="000000"/>
    </w:rPr>
  </w:style>
  <w:style w:type="paragraph" w:customStyle="1" w:styleId="JUDUL">
    <w:name w:val="JUDUL"/>
    <w:basedOn w:val="Normal"/>
    <w:link w:val="JUDULChar"/>
    <w:pPr>
      <w:spacing w:after="240"/>
      <w:jc w:val="center"/>
    </w:pPr>
    <w:rPr>
      <w:rFonts w:ascii="Tahoma" w:eastAsia="Tahoma" w:hAnsi="Tahoma" w:cs="Tahoma"/>
      <w:b/>
      <w:sz w:val="28"/>
      <w:szCs w:val="28"/>
      <w:lang w:val="id-ID" w:eastAsia="en-ID"/>
    </w:rPr>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1">
    <w:name w:val="Light Shading1"/>
    <w:basedOn w:val="TableNormal"/>
    <w:uiPriority w:val="60"/>
    <w:rPr>
      <w:color w:val="000000"/>
      <w:sz w:val="22"/>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l2br w:val="nil"/>
          <w:tr2bl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style>
  <w:style w:type="paragraph" w:customStyle="1" w:styleId="Subjudul">
    <w:name w:val="Sub judul"/>
    <w:basedOn w:val="Normal"/>
    <w:link w:val="SubjudulChar"/>
    <w:qFormat/>
    <w:rsid w:val="00E53D90"/>
    <w:pPr>
      <w:spacing w:after="240"/>
      <w:jc w:val="center"/>
    </w:pPr>
    <w:rPr>
      <w:rFonts w:eastAsia="Tahoma" w:cs="Tahoma"/>
      <w:color w:val="000000"/>
      <w:sz w:val="28"/>
      <w:szCs w:val="20"/>
      <w:lang w:val="tn-ZA" w:eastAsia="en-ID"/>
    </w:rPr>
  </w:style>
  <w:style w:type="paragraph" w:customStyle="1" w:styleId="JudulInggris">
    <w:name w:val="Judul Inggris"/>
    <w:basedOn w:val="Normal"/>
    <w:link w:val="JudulInggrisChar"/>
    <w:qFormat/>
    <w:rsid w:val="00F9145C"/>
    <w:pPr>
      <w:spacing w:after="240"/>
      <w:jc w:val="center"/>
    </w:pPr>
    <w:rPr>
      <w:rFonts w:eastAsia="Tahoma" w:cs="Tahoma"/>
      <w:i/>
      <w:color w:val="000000"/>
      <w:lang w:val="tn-ZA" w:eastAsia="en-ID"/>
    </w:rPr>
  </w:style>
  <w:style w:type="character" w:customStyle="1" w:styleId="SubjudulChar">
    <w:name w:val="Sub judul Char"/>
    <w:basedOn w:val="DefaultParagraphFont"/>
    <w:link w:val="Subjudul"/>
    <w:rsid w:val="00E53D90"/>
    <w:rPr>
      <w:rFonts w:ascii="Times New Roman" w:hAnsi="Times New Roman" w:cs="Tahoma"/>
      <w:color w:val="000000"/>
      <w:sz w:val="28"/>
      <w:szCs w:val="20"/>
      <w:lang w:val="tn-ZA"/>
    </w:rPr>
  </w:style>
  <w:style w:type="paragraph" w:customStyle="1" w:styleId="Afiliasi">
    <w:name w:val="Afiliasi"/>
    <w:basedOn w:val="Normal"/>
    <w:link w:val="AfiliasiChar"/>
    <w:rsid w:val="000F09FB"/>
    <w:pPr>
      <w:jc w:val="center"/>
    </w:pPr>
    <w:rPr>
      <w:rFonts w:ascii="Tahoma" w:eastAsia="Tahoma" w:hAnsi="Tahoma" w:cs="Tahoma"/>
      <w:sz w:val="20"/>
      <w:szCs w:val="20"/>
      <w:lang w:val="tn-ZA" w:eastAsia="en-ID"/>
    </w:rPr>
  </w:style>
  <w:style w:type="character" w:customStyle="1" w:styleId="JudulInggrisChar">
    <w:name w:val="Judul Inggris Char"/>
    <w:basedOn w:val="DefaultParagraphFont"/>
    <w:link w:val="JudulInggris"/>
    <w:rsid w:val="00F9145C"/>
    <w:rPr>
      <w:rFonts w:ascii="Times New Roman" w:hAnsi="Times New Roman" w:cs="Tahoma"/>
      <w:i/>
      <w:color w:val="000000"/>
      <w:lang w:val="tn-ZA"/>
    </w:rPr>
  </w:style>
  <w:style w:type="paragraph" w:customStyle="1" w:styleId="Style1">
    <w:name w:val="Style1"/>
    <w:basedOn w:val="Normal"/>
    <w:next w:val="Normal"/>
    <w:link w:val="Style1Char"/>
    <w:rsid w:val="000F09FB"/>
    <w:pPr>
      <w:jc w:val="center"/>
    </w:pPr>
    <w:rPr>
      <w:rFonts w:ascii="Tahoma" w:eastAsia="Tahoma" w:hAnsi="Tahoma" w:cs="Tahoma"/>
      <w:b/>
      <w:color w:val="000000"/>
      <w:szCs w:val="20"/>
      <w:lang w:val="tn-ZA" w:eastAsia="en-ID"/>
    </w:rPr>
  </w:style>
  <w:style w:type="character" w:customStyle="1" w:styleId="AfiliasiChar">
    <w:name w:val="Afiliasi Char"/>
    <w:basedOn w:val="DefaultParagraphFont"/>
    <w:link w:val="Afiliasi"/>
    <w:rsid w:val="000F09FB"/>
    <w:rPr>
      <w:rFonts w:cs="Tahoma"/>
      <w:sz w:val="20"/>
      <w:szCs w:val="20"/>
      <w:lang w:val="tn-ZA"/>
    </w:rPr>
  </w:style>
  <w:style w:type="paragraph" w:customStyle="1" w:styleId="Style2">
    <w:name w:val="Style2"/>
    <w:basedOn w:val="Normal"/>
    <w:link w:val="Style2Char"/>
    <w:rsid w:val="000F09FB"/>
    <w:pPr>
      <w:jc w:val="center"/>
    </w:pPr>
    <w:rPr>
      <w:rFonts w:ascii="Tahoma" w:eastAsia="Tahoma" w:hAnsi="Tahoma" w:cs="Tahoma"/>
      <w:b/>
      <w:i/>
      <w:color w:val="000000"/>
      <w:szCs w:val="20"/>
      <w:lang w:val="tn-ZA" w:eastAsia="en-ID"/>
    </w:rPr>
  </w:style>
  <w:style w:type="character" w:customStyle="1" w:styleId="Style1Char">
    <w:name w:val="Style1 Char"/>
    <w:basedOn w:val="DefaultParagraphFont"/>
    <w:link w:val="Style1"/>
    <w:rsid w:val="000F09FB"/>
    <w:rPr>
      <w:rFonts w:cs="Tahoma"/>
      <w:b/>
      <w:color w:val="000000"/>
      <w:szCs w:val="20"/>
      <w:lang w:val="tn-ZA"/>
    </w:rPr>
  </w:style>
  <w:style w:type="paragraph" w:customStyle="1" w:styleId="KataAbstrak">
    <w:name w:val="Kata Abstrak"/>
    <w:basedOn w:val="Normal"/>
    <w:link w:val="KataAbstrakChar"/>
    <w:qFormat/>
    <w:rsid w:val="00956D52"/>
    <w:pPr>
      <w:autoSpaceDE w:val="0"/>
      <w:autoSpaceDN w:val="0"/>
      <w:adjustRightInd w:val="0"/>
      <w:spacing w:after="240"/>
      <w:jc w:val="center"/>
    </w:pPr>
    <w:rPr>
      <w:rFonts w:eastAsia="Tahoma" w:cs="Tahoma"/>
      <w:b/>
      <w:szCs w:val="20"/>
      <w:lang w:val="id-ID" w:eastAsia="en-ID"/>
    </w:rPr>
  </w:style>
  <w:style w:type="character" w:customStyle="1" w:styleId="Style2Char">
    <w:name w:val="Style2 Char"/>
    <w:basedOn w:val="DefaultParagraphFont"/>
    <w:link w:val="Style2"/>
    <w:rsid w:val="000F09FB"/>
    <w:rPr>
      <w:rFonts w:cs="Tahoma"/>
      <w:b/>
      <w:i/>
      <w:color w:val="000000"/>
      <w:szCs w:val="20"/>
      <w:lang w:val="tn-ZA"/>
    </w:rPr>
  </w:style>
  <w:style w:type="paragraph" w:customStyle="1" w:styleId="AbstractEnglish">
    <w:name w:val="Abstract English"/>
    <w:basedOn w:val="Normal"/>
    <w:link w:val="AbstractEnglishChar"/>
    <w:qFormat/>
    <w:rsid w:val="00EB4250"/>
    <w:pPr>
      <w:autoSpaceDE w:val="0"/>
      <w:autoSpaceDN w:val="0"/>
      <w:adjustRightInd w:val="0"/>
      <w:spacing w:after="200"/>
      <w:jc w:val="both"/>
    </w:pPr>
    <w:rPr>
      <w:rFonts w:eastAsia="Tahoma" w:cs="Tahoma"/>
      <w:i/>
      <w:sz w:val="20"/>
      <w:szCs w:val="20"/>
      <w:lang w:val="id-ID" w:eastAsia="en-ID"/>
    </w:rPr>
  </w:style>
  <w:style w:type="character" w:customStyle="1" w:styleId="KataAbstrakChar">
    <w:name w:val="Kata Abstrak Char"/>
    <w:basedOn w:val="DefaultParagraphFont"/>
    <w:link w:val="KataAbstrak"/>
    <w:rsid w:val="00956D52"/>
    <w:rPr>
      <w:rFonts w:ascii="Times New Roman" w:hAnsi="Times New Roman" w:cs="Tahoma"/>
      <w:b/>
      <w:szCs w:val="20"/>
    </w:rPr>
  </w:style>
  <w:style w:type="paragraph" w:customStyle="1" w:styleId="Heading20">
    <w:name w:val="Heading2"/>
    <w:basedOn w:val="Heading2"/>
    <w:link w:val="Heading2Char0"/>
    <w:rsid w:val="007D16E9"/>
    <w:pPr>
      <w:spacing w:before="0" w:after="0"/>
      <w:jc w:val="both"/>
    </w:pPr>
    <w:rPr>
      <w:rFonts w:ascii="Tahoma" w:hAnsi="Tahoma"/>
      <w:i w:val="0"/>
      <w:color w:val="000000"/>
      <w:sz w:val="24"/>
      <w:szCs w:val="20"/>
      <w:lang w:val="tn-ZA"/>
    </w:rPr>
  </w:style>
  <w:style w:type="character" w:customStyle="1" w:styleId="AbstractEnglishChar">
    <w:name w:val="Abstract English Char"/>
    <w:basedOn w:val="DefaultParagraphFont"/>
    <w:link w:val="AbstractEnglish"/>
    <w:rsid w:val="00EB4250"/>
    <w:rPr>
      <w:rFonts w:ascii="Times New Roman" w:hAnsi="Times New Roman" w:cs="Tahoma"/>
      <w:i/>
      <w:sz w:val="20"/>
      <w:szCs w:val="20"/>
    </w:rPr>
  </w:style>
  <w:style w:type="paragraph" w:customStyle="1" w:styleId="body">
    <w:name w:val="body"/>
    <w:basedOn w:val="Normal"/>
    <w:link w:val="bodyChar"/>
    <w:rsid w:val="007D16E9"/>
    <w:pPr>
      <w:ind w:firstLine="425"/>
      <w:jc w:val="both"/>
    </w:pPr>
    <w:rPr>
      <w:rFonts w:ascii="Tahoma" w:eastAsia="Tahoma" w:hAnsi="Tahoma" w:cs="Tahoma"/>
      <w:color w:val="000000"/>
      <w:szCs w:val="20"/>
      <w:lang w:val="id-ID" w:eastAsia="en-ID"/>
    </w:rPr>
  </w:style>
  <w:style w:type="character" w:customStyle="1" w:styleId="Heading2Char0">
    <w:name w:val="Heading2 Char"/>
    <w:basedOn w:val="Heading2Char"/>
    <w:link w:val="Heading20"/>
    <w:rsid w:val="007D16E9"/>
    <w:rPr>
      <w:rFonts w:ascii="Cambria" w:eastAsia="Times New Roman" w:hAnsi="Cambria" w:cs="Tahoma"/>
      <w:b/>
      <w:bCs/>
      <w:i w:val="0"/>
      <w:iCs/>
      <w:color w:val="000000"/>
      <w:sz w:val="28"/>
      <w:szCs w:val="20"/>
      <w:lang w:val="tn-ZA"/>
    </w:rPr>
  </w:style>
  <w:style w:type="paragraph" w:customStyle="1" w:styleId="Body0">
    <w:name w:val="Body"/>
    <w:basedOn w:val="body"/>
    <w:link w:val="BodyChar0"/>
    <w:rsid w:val="00465821"/>
    <w:rPr>
      <w:sz w:val="22"/>
    </w:rPr>
  </w:style>
  <w:style w:type="character" w:customStyle="1" w:styleId="bodyChar">
    <w:name w:val="body Char"/>
    <w:basedOn w:val="DefaultParagraphFont"/>
    <w:link w:val="body"/>
    <w:rsid w:val="007D16E9"/>
    <w:rPr>
      <w:rFonts w:cs="Tahoma"/>
      <w:color w:val="000000"/>
      <w:szCs w:val="20"/>
      <w:lang w:val="id-ID"/>
    </w:rPr>
  </w:style>
  <w:style w:type="paragraph" w:customStyle="1" w:styleId="equation">
    <w:name w:val="equation"/>
    <w:basedOn w:val="body"/>
    <w:link w:val="equationChar"/>
    <w:qFormat/>
    <w:rsid w:val="00465821"/>
    <w:pPr>
      <w:tabs>
        <w:tab w:val="right" w:leader="dot" w:pos="9360"/>
      </w:tabs>
      <w:ind w:firstLine="432"/>
    </w:pPr>
    <w:rPr>
      <w:sz w:val="22"/>
    </w:rPr>
  </w:style>
  <w:style w:type="character" w:customStyle="1" w:styleId="BodyChar0">
    <w:name w:val="Body Char"/>
    <w:basedOn w:val="bodyChar"/>
    <w:link w:val="Body0"/>
    <w:rsid w:val="00465821"/>
    <w:rPr>
      <w:rFonts w:cs="Tahoma"/>
      <w:color w:val="000000"/>
      <w:sz w:val="22"/>
      <w:szCs w:val="20"/>
      <w:lang w:val="id-ID"/>
    </w:rPr>
  </w:style>
  <w:style w:type="paragraph" w:customStyle="1" w:styleId="Tabel">
    <w:name w:val="Tabel"/>
    <w:basedOn w:val="Normal"/>
    <w:link w:val="TabelChar"/>
    <w:qFormat/>
    <w:rsid w:val="00465821"/>
    <w:pPr>
      <w:ind w:left="1134" w:hanging="1134"/>
      <w:jc w:val="center"/>
    </w:pPr>
    <w:rPr>
      <w:rFonts w:ascii="Tahoma" w:eastAsia="Tahoma" w:hAnsi="Tahoma" w:cs="Tahoma"/>
      <w:b/>
      <w:sz w:val="20"/>
      <w:szCs w:val="18"/>
      <w:lang w:val="id-ID" w:eastAsia="en-ID"/>
    </w:rPr>
  </w:style>
  <w:style w:type="character" w:customStyle="1" w:styleId="equationChar">
    <w:name w:val="equation Char"/>
    <w:basedOn w:val="bodyChar"/>
    <w:link w:val="equation"/>
    <w:rsid w:val="00465821"/>
    <w:rPr>
      <w:rFonts w:cs="Tahoma"/>
      <w:color w:val="000000"/>
      <w:sz w:val="22"/>
      <w:szCs w:val="20"/>
      <w:lang w:val="id-ID"/>
    </w:rPr>
  </w:style>
  <w:style w:type="paragraph" w:customStyle="1" w:styleId="Style3">
    <w:name w:val="Style3"/>
    <w:basedOn w:val="Normal"/>
    <w:link w:val="Style3Char"/>
    <w:rsid w:val="004965EB"/>
    <w:pPr>
      <w:ind w:left="425" w:hanging="425"/>
      <w:jc w:val="both"/>
    </w:pPr>
    <w:rPr>
      <w:rFonts w:ascii="Tahoma" w:eastAsia="Tahoma" w:hAnsi="Tahoma" w:cs="Tahoma"/>
      <w:sz w:val="20"/>
      <w:szCs w:val="18"/>
      <w:lang w:val="id-ID" w:eastAsia="en-ID"/>
    </w:rPr>
  </w:style>
  <w:style w:type="character" w:customStyle="1" w:styleId="TabelChar">
    <w:name w:val="Tabel Char"/>
    <w:basedOn w:val="DefaultParagraphFont"/>
    <w:link w:val="Tabel"/>
    <w:rsid w:val="00465821"/>
    <w:rPr>
      <w:rFonts w:cs="Tahoma"/>
      <w:b/>
      <w:sz w:val="20"/>
      <w:szCs w:val="18"/>
    </w:rPr>
  </w:style>
  <w:style w:type="paragraph" w:customStyle="1" w:styleId="Referensi">
    <w:name w:val="Referensi"/>
    <w:basedOn w:val="Style3"/>
    <w:link w:val="ReferensiChar"/>
    <w:qFormat/>
    <w:rsid w:val="003D7CFE"/>
    <w:rPr>
      <w:rFonts w:ascii="Times New Roman" w:hAnsi="Times New Roman"/>
      <w:sz w:val="22"/>
    </w:rPr>
  </w:style>
  <w:style w:type="character" w:customStyle="1" w:styleId="Style3Char">
    <w:name w:val="Style3 Char"/>
    <w:basedOn w:val="DefaultParagraphFont"/>
    <w:link w:val="Style3"/>
    <w:rsid w:val="004965EB"/>
    <w:rPr>
      <w:rFonts w:cs="Tahoma"/>
      <w:sz w:val="20"/>
      <w:szCs w:val="18"/>
      <w:lang w:val="id-ID"/>
    </w:rPr>
  </w:style>
  <w:style w:type="paragraph" w:customStyle="1" w:styleId="style4">
    <w:name w:val="style4"/>
    <w:basedOn w:val="Normal"/>
    <w:link w:val="style4Char"/>
    <w:qFormat/>
    <w:rsid w:val="00665330"/>
    <w:pPr>
      <w:tabs>
        <w:tab w:val="left" w:pos="7650"/>
      </w:tabs>
      <w:ind w:left="3150" w:right="1898" w:hanging="851"/>
      <w:jc w:val="both"/>
    </w:pPr>
    <w:rPr>
      <w:rFonts w:ascii="Tahoma" w:eastAsia="Tahoma" w:hAnsi="Tahoma" w:cs="Tahoma"/>
      <w:i/>
      <w:sz w:val="20"/>
      <w:szCs w:val="18"/>
      <w:lang w:val="id-ID" w:eastAsia="en-ID"/>
    </w:rPr>
  </w:style>
  <w:style w:type="character" w:customStyle="1" w:styleId="ReferensiChar">
    <w:name w:val="Referensi Char"/>
    <w:basedOn w:val="Style3Char"/>
    <w:link w:val="Referensi"/>
    <w:rsid w:val="003D7CFE"/>
    <w:rPr>
      <w:rFonts w:ascii="Times New Roman" w:hAnsi="Times New Roman" w:cs="Tahoma"/>
      <w:sz w:val="22"/>
      <w:szCs w:val="18"/>
      <w:lang w:val="id-ID"/>
    </w:rPr>
  </w:style>
  <w:style w:type="character" w:customStyle="1" w:styleId="style4Char">
    <w:name w:val="style4 Char"/>
    <w:basedOn w:val="DefaultParagraphFont"/>
    <w:link w:val="style4"/>
    <w:rsid w:val="00665330"/>
    <w:rPr>
      <w:rFonts w:cs="Tahoma"/>
      <w:i/>
      <w:sz w:val="20"/>
      <w:szCs w:val="18"/>
    </w:rPr>
  </w:style>
  <w:style w:type="paragraph" w:customStyle="1" w:styleId="HeaderPaper">
    <w:name w:val="Header_Paper"/>
    <w:basedOn w:val="Header"/>
    <w:link w:val="HeaderPaperChar"/>
    <w:rsid w:val="0028295B"/>
    <w:pPr>
      <w:tabs>
        <w:tab w:val="clear" w:pos="4680"/>
        <w:tab w:val="clear" w:pos="9360"/>
        <w:tab w:val="left" w:pos="9639"/>
      </w:tabs>
      <w:jc w:val="left"/>
    </w:pPr>
    <w:rPr>
      <w:rFonts w:ascii="Times New Roman" w:hAnsi="Times New Roman"/>
      <w:i/>
      <w:sz w:val="20"/>
    </w:rPr>
  </w:style>
  <w:style w:type="paragraph" w:customStyle="1" w:styleId="PaperHeader">
    <w:name w:val="Paper Header"/>
    <w:basedOn w:val="Header"/>
    <w:link w:val="PaperHeaderChar"/>
    <w:qFormat/>
    <w:rsid w:val="00EA2840"/>
    <w:pPr>
      <w:tabs>
        <w:tab w:val="clear" w:pos="4680"/>
        <w:tab w:val="clear" w:pos="9360"/>
      </w:tabs>
      <w:jc w:val="left"/>
    </w:pPr>
    <w:rPr>
      <w:rFonts w:ascii="Times New Roman" w:hAnsi="Times New Roman"/>
      <w:sz w:val="18"/>
      <w:szCs w:val="20"/>
    </w:rPr>
  </w:style>
  <w:style w:type="character" w:customStyle="1" w:styleId="HeaderPaperChar">
    <w:name w:val="Header_Paper Char"/>
    <w:basedOn w:val="HeaderChar"/>
    <w:link w:val="HeaderPaper"/>
    <w:rsid w:val="0028295B"/>
    <w:rPr>
      <w:rFonts w:ascii="Times New Roman" w:hAnsi="Times New Roman" w:cs="Tahoma"/>
      <w:i/>
      <w:sz w:val="20"/>
      <w:szCs w:val="22"/>
    </w:rPr>
  </w:style>
  <w:style w:type="paragraph" w:customStyle="1" w:styleId="NamaPenulis">
    <w:name w:val="Nama Penulis"/>
    <w:basedOn w:val="Normal"/>
    <w:link w:val="NamaPenulisChar"/>
    <w:qFormat/>
    <w:rsid w:val="009416E8"/>
    <w:pPr>
      <w:spacing w:after="120"/>
      <w:jc w:val="center"/>
    </w:pPr>
    <w:rPr>
      <w:rFonts w:eastAsia="Tahoma" w:cs="Tahoma"/>
      <w:sz w:val="22"/>
      <w:szCs w:val="20"/>
      <w:lang w:val="tn-ZA" w:eastAsia="en-ID"/>
    </w:rPr>
  </w:style>
  <w:style w:type="character" w:customStyle="1" w:styleId="PaperHeaderChar">
    <w:name w:val="Paper Header Char"/>
    <w:basedOn w:val="HeaderChar"/>
    <w:link w:val="PaperHeader"/>
    <w:rsid w:val="00EA2840"/>
    <w:rPr>
      <w:rFonts w:ascii="Times New Roman" w:hAnsi="Times New Roman"/>
      <w:sz w:val="18"/>
      <w:szCs w:val="20"/>
    </w:rPr>
  </w:style>
  <w:style w:type="paragraph" w:customStyle="1" w:styleId="AlamatKorespondensi">
    <w:name w:val="Alamat Korespondensi"/>
    <w:basedOn w:val="Afiliasi"/>
    <w:link w:val="AlamatKorespondensiChar"/>
    <w:qFormat/>
    <w:rsid w:val="009416E8"/>
    <w:rPr>
      <w:rFonts w:ascii="Times New Roman" w:hAnsi="Times New Roman"/>
      <w:i/>
    </w:rPr>
  </w:style>
  <w:style w:type="character" w:customStyle="1" w:styleId="NamaPenulisChar">
    <w:name w:val="Nama Penulis Char"/>
    <w:basedOn w:val="DefaultParagraphFont"/>
    <w:link w:val="NamaPenulis"/>
    <w:rsid w:val="009416E8"/>
    <w:rPr>
      <w:rFonts w:ascii="Times New Roman" w:hAnsi="Times New Roman" w:cs="Tahoma"/>
      <w:sz w:val="22"/>
      <w:szCs w:val="20"/>
      <w:lang w:val="tn-ZA"/>
    </w:rPr>
  </w:style>
  <w:style w:type="paragraph" w:customStyle="1" w:styleId="emailkorespondensi">
    <w:name w:val="email korespondensi"/>
    <w:basedOn w:val="Afiliasi"/>
    <w:link w:val="emailkorespondensiChar"/>
    <w:qFormat/>
    <w:rsid w:val="006D0F0C"/>
    <w:pPr>
      <w:spacing w:after="240"/>
    </w:pPr>
    <w:rPr>
      <w:rFonts w:ascii="Times New Roman" w:hAnsi="Times New Roman"/>
    </w:rPr>
  </w:style>
  <w:style w:type="character" w:customStyle="1" w:styleId="AlamatKorespondensiChar">
    <w:name w:val="Alamat Korespondensi Char"/>
    <w:basedOn w:val="AfiliasiChar"/>
    <w:link w:val="AlamatKorespondensi"/>
    <w:rsid w:val="009416E8"/>
    <w:rPr>
      <w:rFonts w:ascii="Times New Roman" w:hAnsi="Times New Roman" w:cs="Tahoma"/>
      <w:i/>
      <w:sz w:val="20"/>
      <w:szCs w:val="20"/>
      <w:lang w:val="tn-ZA"/>
    </w:rPr>
  </w:style>
  <w:style w:type="paragraph" w:customStyle="1" w:styleId="AbstrakIndonesia">
    <w:name w:val="Abstrak Indonesia"/>
    <w:basedOn w:val="KataAbstrak"/>
    <w:link w:val="AbstrakIndonesiaChar"/>
    <w:qFormat/>
    <w:rsid w:val="00956D52"/>
    <w:pPr>
      <w:spacing w:after="120"/>
      <w:jc w:val="both"/>
    </w:pPr>
    <w:rPr>
      <w:b w:val="0"/>
      <w:sz w:val="20"/>
    </w:rPr>
  </w:style>
  <w:style w:type="character" w:customStyle="1" w:styleId="emailkorespondensiChar">
    <w:name w:val="email korespondensi Char"/>
    <w:basedOn w:val="AfiliasiChar"/>
    <w:link w:val="emailkorespondensi"/>
    <w:rsid w:val="006D0F0C"/>
    <w:rPr>
      <w:rFonts w:ascii="Times New Roman" w:hAnsi="Times New Roman" w:cs="Tahoma"/>
      <w:sz w:val="20"/>
      <w:szCs w:val="20"/>
      <w:lang w:val="tn-ZA"/>
    </w:rPr>
  </w:style>
  <w:style w:type="paragraph" w:customStyle="1" w:styleId="JudulBab">
    <w:name w:val="Judul Bab"/>
    <w:basedOn w:val="Heading20"/>
    <w:link w:val="JudulBabChar"/>
    <w:qFormat/>
    <w:rsid w:val="00751F90"/>
    <w:pPr>
      <w:spacing w:before="240" w:after="240"/>
    </w:pPr>
    <w:rPr>
      <w:rFonts w:ascii="Times New Roman" w:hAnsi="Times New Roman"/>
    </w:rPr>
  </w:style>
  <w:style w:type="character" w:customStyle="1" w:styleId="AbstrakIndonesiaChar">
    <w:name w:val="Abstrak Indonesia Char"/>
    <w:basedOn w:val="KataAbstrakChar"/>
    <w:link w:val="AbstrakIndonesia"/>
    <w:rsid w:val="00956D52"/>
    <w:rPr>
      <w:rFonts w:ascii="Times New Roman" w:hAnsi="Times New Roman" w:cs="Tahoma"/>
      <w:b w:val="0"/>
      <w:sz w:val="20"/>
      <w:szCs w:val="20"/>
    </w:rPr>
  </w:style>
  <w:style w:type="paragraph" w:customStyle="1" w:styleId="teksbody">
    <w:name w:val="teks body"/>
    <w:basedOn w:val="Body0"/>
    <w:link w:val="teksbodyChar"/>
    <w:qFormat/>
    <w:rsid w:val="00235130"/>
    <w:pPr>
      <w:ind w:firstLine="432"/>
    </w:pPr>
    <w:rPr>
      <w:rFonts w:ascii="Times New Roman" w:hAnsi="Times New Roman"/>
    </w:rPr>
  </w:style>
  <w:style w:type="character" w:customStyle="1" w:styleId="JudulBabChar">
    <w:name w:val="Judul Bab Char"/>
    <w:basedOn w:val="Heading2Char0"/>
    <w:link w:val="JudulBab"/>
    <w:rsid w:val="00751F90"/>
    <w:rPr>
      <w:rFonts w:ascii="Times New Roman" w:eastAsia="Times New Roman" w:hAnsi="Times New Roman" w:cs="Tahoma"/>
      <w:b/>
      <w:bCs/>
      <w:i w:val="0"/>
      <w:iCs/>
      <w:color w:val="000000"/>
      <w:sz w:val="28"/>
      <w:szCs w:val="20"/>
      <w:lang w:val="tn-ZA"/>
    </w:rPr>
  </w:style>
  <w:style w:type="paragraph" w:customStyle="1" w:styleId="rumus">
    <w:name w:val="rumus"/>
    <w:basedOn w:val="equation"/>
    <w:link w:val="rumusChar"/>
    <w:qFormat/>
    <w:rsid w:val="009014A3"/>
    <w:rPr>
      <w:rFonts w:ascii="Times New Roman" w:hAnsi="Times New Roman"/>
    </w:rPr>
  </w:style>
  <w:style w:type="character" w:customStyle="1" w:styleId="teksbodyChar">
    <w:name w:val="teks body Char"/>
    <w:basedOn w:val="BodyChar0"/>
    <w:link w:val="teksbody"/>
    <w:rsid w:val="00235130"/>
    <w:rPr>
      <w:rFonts w:ascii="Times New Roman" w:hAnsi="Times New Roman" w:cs="Tahoma"/>
      <w:color w:val="000000"/>
      <w:sz w:val="22"/>
      <w:szCs w:val="20"/>
      <w:lang w:val="id-ID"/>
    </w:rPr>
  </w:style>
  <w:style w:type="paragraph" w:customStyle="1" w:styleId="JudulSubBab">
    <w:name w:val="Judul Sub Bab"/>
    <w:basedOn w:val="body"/>
    <w:link w:val="JudulSubBabChar"/>
    <w:qFormat/>
    <w:rsid w:val="002F3C8A"/>
    <w:pPr>
      <w:spacing w:before="200" w:after="200"/>
      <w:ind w:firstLine="0"/>
      <w:jc w:val="left"/>
    </w:pPr>
    <w:rPr>
      <w:rFonts w:ascii="Times New Roman" w:hAnsi="Times New Roman"/>
      <w:b/>
      <w:sz w:val="22"/>
      <w:lang w:val="en-US"/>
    </w:rPr>
  </w:style>
  <w:style w:type="character" w:customStyle="1" w:styleId="rumusChar">
    <w:name w:val="rumus Char"/>
    <w:basedOn w:val="equationChar"/>
    <w:link w:val="rumus"/>
    <w:rsid w:val="009014A3"/>
    <w:rPr>
      <w:rFonts w:ascii="Times New Roman" w:hAnsi="Times New Roman" w:cs="Tahoma"/>
      <w:color w:val="000000"/>
      <w:sz w:val="22"/>
      <w:szCs w:val="20"/>
      <w:lang w:val="id-ID"/>
    </w:rPr>
  </w:style>
  <w:style w:type="paragraph" w:customStyle="1" w:styleId="teksrumus">
    <w:name w:val="teks rumus"/>
    <w:basedOn w:val="Body0"/>
    <w:link w:val="teksrumusChar"/>
    <w:qFormat/>
    <w:rsid w:val="00AC1EFF"/>
    <w:pPr>
      <w:ind w:firstLine="0"/>
    </w:pPr>
    <w:rPr>
      <w:rFonts w:ascii="Times New Roman" w:hAnsi="Times New Roman"/>
    </w:rPr>
  </w:style>
  <w:style w:type="character" w:customStyle="1" w:styleId="JudulSubBabChar">
    <w:name w:val="Judul Sub Bab Char"/>
    <w:basedOn w:val="bodyChar"/>
    <w:link w:val="JudulSubBab"/>
    <w:rsid w:val="002F3C8A"/>
    <w:rPr>
      <w:rFonts w:ascii="Times New Roman" w:hAnsi="Times New Roman" w:cs="Tahoma"/>
      <w:b/>
      <w:color w:val="000000"/>
      <w:sz w:val="22"/>
      <w:szCs w:val="20"/>
      <w:lang w:val="id-ID"/>
    </w:rPr>
  </w:style>
  <w:style w:type="paragraph" w:customStyle="1" w:styleId="gambar">
    <w:name w:val="gambar"/>
    <w:basedOn w:val="Normal"/>
    <w:link w:val="gambarChar"/>
    <w:qFormat/>
    <w:rsid w:val="00335AA4"/>
    <w:pPr>
      <w:spacing w:after="60"/>
      <w:ind w:firstLine="425"/>
      <w:jc w:val="center"/>
    </w:pPr>
    <w:rPr>
      <w:rFonts w:eastAsia="Tahoma" w:cs="Tahoma"/>
      <w:noProof/>
      <w:sz w:val="20"/>
      <w:lang w:val="id-ID" w:eastAsia="en-ID"/>
    </w:rPr>
  </w:style>
  <w:style w:type="character" w:customStyle="1" w:styleId="teksrumusChar">
    <w:name w:val="teks rumus Char"/>
    <w:basedOn w:val="BodyChar0"/>
    <w:link w:val="teksrumus"/>
    <w:rsid w:val="00AC1EFF"/>
    <w:rPr>
      <w:rFonts w:ascii="Times New Roman" w:hAnsi="Times New Roman" w:cs="Tahoma"/>
      <w:color w:val="000000"/>
      <w:sz w:val="22"/>
      <w:szCs w:val="20"/>
      <w:lang w:val="id-ID"/>
    </w:rPr>
  </w:style>
  <w:style w:type="paragraph" w:customStyle="1" w:styleId="JudulTabel">
    <w:name w:val="Judul Tabel"/>
    <w:basedOn w:val="Normal"/>
    <w:link w:val="JudulTabelChar"/>
    <w:qFormat/>
    <w:rsid w:val="00D867A9"/>
    <w:pPr>
      <w:spacing w:before="120" w:after="60"/>
      <w:ind w:left="1138" w:hanging="1138"/>
      <w:jc w:val="both"/>
    </w:pPr>
    <w:rPr>
      <w:rFonts w:eastAsia="Tahoma" w:cs="Tahoma"/>
      <w:sz w:val="22"/>
      <w:lang w:val="id-ID" w:eastAsia="en-ID"/>
    </w:rPr>
  </w:style>
  <w:style w:type="character" w:customStyle="1" w:styleId="gambarChar">
    <w:name w:val="gambar Char"/>
    <w:basedOn w:val="DefaultParagraphFont"/>
    <w:link w:val="gambar"/>
    <w:rsid w:val="00335AA4"/>
    <w:rPr>
      <w:rFonts w:ascii="Times New Roman" w:hAnsi="Times New Roman"/>
      <w:noProof/>
      <w:sz w:val="20"/>
    </w:rPr>
  </w:style>
  <w:style w:type="paragraph" w:customStyle="1" w:styleId="tekstabel">
    <w:name w:val="teks tabel"/>
    <w:basedOn w:val="Normal"/>
    <w:link w:val="tekstabelChar"/>
    <w:qFormat/>
    <w:rsid w:val="00E24A64"/>
    <w:pPr>
      <w:ind w:left="-274" w:firstLine="274"/>
      <w:jc w:val="center"/>
    </w:pPr>
    <w:rPr>
      <w:rFonts w:eastAsia="Tahoma" w:cs="Tahoma"/>
      <w:sz w:val="20"/>
      <w:szCs w:val="20"/>
      <w:lang w:val="id-ID" w:eastAsia="en-ID"/>
    </w:rPr>
  </w:style>
  <w:style w:type="character" w:customStyle="1" w:styleId="JudulTabelChar">
    <w:name w:val="Judul Tabel Char"/>
    <w:basedOn w:val="DefaultParagraphFont"/>
    <w:link w:val="JudulTabel"/>
    <w:rsid w:val="00D867A9"/>
    <w:rPr>
      <w:rFonts w:ascii="Times New Roman" w:hAnsi="Times New Roman"/>
      <w:sz w:val="22"/>
    </w:rPr>
  </w:style>
  <w:style w:type="character" w:styleId="UnresolvedMention">
    <w:name w:val="Unresolved Mention"/>
    <w:basedOn w:val="DefaultParagraphFont"/>
    <w:uiPriority w:val="99"/>
    <w:semiHidden/>
    <w:unhideWhenUsed/>
    <w:rsid w:val="00335AA4"/>
    <w:rPr>
      <w:color w:val="605E5C"/>
      <w:shd w:val="clear" w:color="auto" w:fill="E1DFDD"/>
    </w:rPr>
  </w:style>
  <w:style w:type="character" w:customStyle="1" w:styleId="tekstabelChar">
    <w:name w:val="teks tabel Char"/>
    <w:basedOn w:val="DefaultParagraphFont"/>
    <w:link w:val="tekstabel"/>
    <w:rsid w:val="00E24A64"/>
    <w:rPr>
      <w:rFonts w:ascii="Times New Roman" w:hAnsi="Times New Roman" w:cs="Tahoma"/>
      <w:sz w:val="20"/>
      <w:szCs w:val="20"/>
    </w:rPr>
  </w:style>
  <w:style w:type="paragraph" w:customStyle="1" w:styleId="sumbertabel">
    <w:name w:val="sumber tabel"/>
    <w:basedOn w:val="tekstabel"/>
    <w:link w:val="sumbertabelChar"/>
    <w:qFormat/>
    <w:rsid w:val="00313951"/>
    <w:pPr>
      <w:spacing w:after="200"/>
      <w:ind w:left="634" w:hanging="634"/>
      <w:jc w:val="both"/>
    </w:pPr>
    <w:rPr>
      <w:i/>
      <w:sz w:val="18"/>
    </w:rPr>
  </w:style>
  <w:style w:type="paragraph" w:customStyle="1" w:styleId="JudulGrafik">
    <w:name w:val="Judul Grafik"/>
    <w:basedOn w:val="JudulTabel"/>
    <w:link w:val="JudulGrafikChar"/>
    <w:qFormat/>
    <w:rsid w:val="00D328AB"/>
    <w:pPr>
      <w:jc w:val="center"/>
    </w:pPr>
    <w:rPr>
      <w:szCs w:val="22"/>
    </w:rPr>
  </w:style>
  <w:style w:type="character" w:customStyle="1" w:styleId="sumbertabelChar">
    <w:name w:val="sumber tabel Char"/>
    <w:basedOn w:val="tekstabelChar"/>
    <w:link w:val="sumbertabel"/>
    <w:rsid w:val="00313951"/>
    <w:rPr>
      <w:rFonts w:ascii="Times New Roman" w:hAnsi="Times New Roman" w:cs="Tahoma"/>
      <w:i/>
      <w:sz w:val="18"/>
      <w:szCs w:val="20"/>
    </w:rPr>
  </w:style>
  <w:style w:type="paragraph" w:customStyle="1" w:styleId="sumberreferensi">
    <w:name w:val="sumber referensi"/>
    <w:basedOn w:val="BodyTextIndent"/>
    <w:link w:val="sumberreferensiChar"/>
    <w:qFormat/>
    <w:rsid w:val="00E40D2E"/>
    <w:pPr>
      <w:spacing w:before="120"/>
      <w:ind w:left="432" w:hanging="432"/>
      <w:jc w:val="left"/>
    </w:pPr>
    <w:rPr>
      <w:rFonts w:ascii="Times New Roman" w:hAnsi="Times New Roman"/>
      <w:b/>
      <w:i/>
      <w:sz w:val="22"/>
      <w:szCs w:val="18"/>
    </w:rPr>
  </w:style>
  <w:style w:type="character" w:customStyle="1" w:styleId="JudulGrafikChar">
    <w:name w:val="Judul Grafik Char"/>
    <w:basedOn w:val="JudulTabelChar"/>
    <w:link w:val="JudulGrafik"/>
    <w:rsid w:val="00D328AB"/>
    <w:rPr>
      <w:rFonts w:ascii="Times New Roman" w:hAnsi="Times New Roman"/>
      <w:sz w:val="22"/>
      <w:szCs w:val="22"/>
    </w:rPr>
  </w:style>
  <w:style w:type="character" w:customStyle="1" w:styleId="sumberreferensiChar">
    <w:name w:val="sumber referensi Char"/>
    <w:basedOn w:val="BodyTextIndentChar"/>
    <w:link w:val="sumberreferensi"/>
    <w:rsid w:val="00E40D2E"/>
    <w:rPr>
      <w:rFonts w:ascii="Times New Roman" w:hAnsi="Times New Roman" w:cs="Tahoma"/>
      <w:b/>
      <w:i/>
      <w:sz w:val="22"/>
      <w:szCs w:val="18"/>
      <w:lang w:val="id-ID"/>
    </w:rPr>
  </w:style>
  <w:style w:type="paragraph" w:customStyle="1" w:styleId="KataAbstract">
    <w:name w:val="Kata Abstract"/>
    <w:basedOn w:val="KataAbstrak"/>
    <w:link w:val="KataAbstractChar"/>
    <w:autoRedefine/>
    <w:qFormat/>
    <w:rsid w:val="00956D52"/>
    <w:pPr>
      <w:spacing w:before="240"/>
    </w:pPr>
    <w:rPr>
      <w:bCs/>
      <w:i/>
      <w:iCs/>
    </w:rPr>
  </w:style>
  <w:style w:type="character" w:styleId="PlaceholderText">
    <w:name w:val="Placeholder Text"/>
    <w:basedOn w:val="DefaultParagraphFont"/>
    <w:uiPriority w:val="99"/>
    <w:unhideWhenUsed/>
    <w:rsid w:val="00360D15"/>
    <w:rPr>
      <w:color w:val="808080"/>
    </w:rPr>
  </w:style>
  <w:style w:type="character" w:customStyle="1" w:styleId="KataAbstractChar">
    <w:name w:val="Kata Abstract Char"/>
    <w:basedOn w:val="KataAbstrakChar"/>
    <w:link w:val="KataAbstract"/>
    <w:rsid w:val="00956D52"/>
    <w:rPr>
      <w:rFonts w:ascii="Times New Roman" w:hAnsi="Times New Roman" w:cs="Tahoma"/>
      <w:b/>
      <w:bCs/>
      <w:i/>
      <w:iCs/>
      <w:szCs w:val="20"/>
    </w:rPr>
  </w:style>
  <w:style w:type="paragraph" w:customStyle="1" w:styleId="sumbergambar">
    <w:name w:val="sumber gambar"/>
    <w:basedOn w:val="sumbertabel"/>
    <w:link w:val="sumbergambarChar"/>
    <w:rsid w:val="002C1B8E"/>
    <w:pPr>
      <w:spacing w:after="0"/>
    </w:pPr>
  </w:style>
  <w:style w:type="paragraph" w:styleId="Bibliography">
    <w:name w:val="Bibliography"/>
    <w:basedOn w:val="Normal"/>
    <w:next w:val="Normal"/>
    <w:uiPriority w:val="37"/>
    <w:unhideWhenUsed/>
    <w:rsid w:val="007D063E"/>
    <w:pPr>
      <w:jc w:val="center"/>
    </w:pPr>
    <w:rPr>
      <w:rFonts w:ascii="Tahoma" w:eastAsia="Tahoma" w:hAnsi="Tahoma" w:cs="Tahoma"/>
      <w:lang w:val="id-ID" w:eastAsia="en-ID"/>
    </w:rPr>
  </w:style>
  <w:style w:type="character" w:customStyle="1" w:styleId="sumbergambarChar">
    <w:name w:val="sumber gambar Char"/>
    <w:basedOn w:val="sumbertabelChar"/>
    <w:link w:val="sumbergambar"/>
    <w:rsid w:val="002C1B8E"/>
    <w:rPr>
      <w:rFonts w:ascii="Times New Roman" w:hAnsi="Times New Roman" w:cs="Tahoma"/>
      <w:i/>
      <w:sz w:val="18"/>
      <w:szCs w:val="20"/>
    </w:rPr>
  </w:style>
  <w:style w:type="paragraph" w:customStyle="1" w:styleId="sumbergambar0">
    <w:name w:val="sumber_gambar"/>
    <w:basedOn w:val="sumbergambar"/>
    <w:link w:val="sumbergambarChar0"/>
    <w:qFormat/>
    <w:rsid w:val="002C1B8E"/>
    <w:pPr>
      <w:ind w:left="630" w:hanging="630"/>
    </w:pPr>
  </w:style>
  <w:style w:type="character" w:customStyle="1" w:styleId="sumbergambarChar0">
    <w:name w:val="sumber_gambar Char"/>
    <w:basedOn w:val="sumbergambarChar"/>
    <w:link w:val="sumbergambar0"/>
    <w:rsid w:val="002C1B8E"/>
    <w:rPr>
      <w:rFonts w:ascii="Times New Roman" w:hAnsi="Times New Roman" w:cs="Tahoma"/>
      <w:i/>
      <w:sz w:val="18"/>
      <w:szCs w:val="20"/>
    </w:rPr>
  </w:style>
  <w:style w:type="paragraph" w:customStyle="1" w:styleId="Paragraph">
    <w:name w:val="Paragraph"/>
    <w:basedOn w:val="Normal"/>
    <w:rsid w:val="00857B63"/>
    <w:pPr>
      <w:ind w:firstLine="284"/>
      <w:jc w:val="both"/>
    </w:pPr>
    <w:rPr>
      <w:rFonts w:cs="Tahoma"/>
      <w:sz w:val="20"/>
      <w:szCs w:val="20"/>
      <w:lang w:val="id-ID" w:eastAsia="en-ID"/>
    </w:rPr>
  </w:style>
  <w:style w:type="paragraph" w:styleId="Subtitle">
    <w:name w:val="Subtitle"/>
    <w:basedOn w:val="Normal"/>
    <w:next w:val="Normal"/>
    <w:uiPriority w:val="11"/>
    <w:qFormat/>
    <w:pPr>
      <w:keepNext/>
      <w:keepLines/>
      <w:spacing w:before="360" w:after="80"/>
      <w:jc w:val="center"/>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rPr>
      <w:color w:val="000000"/>
      <w:sz w:val="22"/>
      <w:szCs w:val="22"/>
    </w:rPr>
    <w:tblPr>
      <w:tblStyleRowBandSize w:val="1"/>
      <w:tblStyleColBandSize w:val="1"/>
    </w:tblPr>
  </w:style>
  <w:style w:type="paragraph" w:styleId="NormalWeb">
    <w:name w:val="Normal (Web)"/>
    <w:basedOn w:val="Normal"/>
    <w:uiPriority w:val="99"/>
    <w:semiHidden/>
    <w:unhideWhenUsed/>
    <w:rsid w:val="002F0E6A"/>
    <w:pPr>
      <w:spacing w:before="100" w:beforeAutospacing="1" w:after="100" w:afterAutospacing="1"/>
    </w:pPr>
  </w:style>
  <w:style w:type="table" w:customStyle="1" w:styleId="a4">
    <w:basedOn w:val="TableNormal"/>
    <w:rPr>
      <w:color w:val="000000"/>
      <w:sz w:val="22"/>
      <w:szCs w:val="22"/>
    </w:rPr>
    <w:tblPr>
      <w:tblStyleRowBandSize w:val="1"/>
      <w:tblStyleColBandSize w:val="1"/>
      <w:tblCellMar>
        <w:left w:w="115" w:type="dxa"/>
        <w:right w:w="115" w:type="dxa"/>
      </w:tblCellMar>
    </w:tblPr>
  </w:style>
  <w:style w:type="table" w:customStyle="1" w:styleId="a5">
    <w:basedOn w:val="TableNormal"/>
    <w:rPr>
      <w:color w:val="000000"/>
      <w:sz w:val="22"/>
      <w:szCs w:val="22"/>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s://jatim.bps.go.id/indicator/23/488/1/gini-rasio-menurut-kabupaten-kota-di-jawa-timur.html" TargetMode="External"/><Relationship Id="rId26"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hyperlink" Target="https://yogyakarta.bps.go.id/indicator/26/316/1/-metode-baru-indeks-pembangunan-manusia.html"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jabar.bps.go.id/indicator/26/123/1/indeks-pembangunan-manusia.html" TargetMode="Externa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s://jabar.bps.go.id/indicator/23/41/1/gini-rasio-kabupaten-kota.html" TargetMode="External"/><Relationship Id="rId20" Type="http://schemas.openxmlformats.org/officeDocument/2006/relationships/hyperlink" Target="https://yogyakarta.bps.go.id/indicator/23/333/1/gini-ratio-menurut-kabupaten-kota.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2.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jatim.bps.go.id/indicator/26/36/1/ipm.html"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github.com/aryasepta7901/TugasAkhir-AP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674E1B1-C187-4785-B698-08C5796607FF}">
  <we:reference id="wa104382081" version="1.46.0.0" store="en-US" storeType="OMEX"/>
  <we:alternateReferences>
    <we:reference id="wa104382081" version="1.46.0.0" store=""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DstpSR18wqwGpycvl+cKl5SnxYw==">AMUW2mVy6rf0rn0r6RlG7VkqEQPVv8Pc39NxmChnPteIYpXeWv/iJHxDGB0vo7AQbySMyFrvac+VZsMAHvBG+PbdKP+IJYGaUmoNB7RVFhkX8bKtVpLJyU1/P721JY4S5oUAh2QC2MEZTXkgkTWOxK4JDuhj8LjkIQ==</go:docsCustomData>
</go:gDocsCustomXmlDataStorage>
</file>

<file path=customXml/itemProps1.xml><?xml version="1.0" encoding="utf-8"?>
<ds:datastoreItem xmlns:ds="http://schemas.openxmlformats.org/officeDocument/2006/customXml" ds:itemID="{B2C147CF-9FB5-4EAE-BFE5-BA50EA2D879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2299</Words>
  <Characters>13106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dc:creator>
  <cp:lastModifiedBy>Habib</cp:lastModifiedBy>
  <cp:revision>6</cp:revision>
  <dcterms:created xsi:type="dcterms:W3CDTF">2022-06-07T13:40:00Z</dcterms:created>
  <dcterms:modified xsi:type="dcterms:W3CDTF">2022-06-07T13:41:00Z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