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5C" w:val="clear"/>
            <w:tcMar>
              <w:top w:type="dxa" w:w="700"/>
              <w:left w:type="dxa" w:w="480"/>
              <w:bottom w:type="dxa" w:w="700"/>
              <w:right w:type="dxa" w:w="480"/>
            </w:tcMar>
          </w:tcPr>
          <w:p>
            <w:pPr>
              <w:spacing w:before="160"/>
              <w:jc w:val="center"/>
            </w:pPr>
            <w:r>
              <w:rPr>
                <w:rFonts w:ascii="Arial" w:cs="Arial" w:eastAsia="Arial" w:hAnsi="Arial"/>
                <w:color w:val="0A74DA"/>
                <w:sz w:val="100"/>
                <w:szCs w:val="100"/>
              </w:rPr>
              <w:t xml:space="preserve">☁</w:t>
            </w:r>
          </w:p>
          <w:p>
            <w:pPr>
              <w:spacing w:before="20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0"/>
                <w:szCs w:val="60"/>
              </w:rPr>
              <w:t xml:space="preserve">Cloud Provider Advisor</w:t>
            </w:r>
          </w:p>
          <w:p>
            <w:pPr>
              <w:spacing w:before="60" w:after="100"/>
              <w:jc w:val="center"/>
            </w:pPr>
            <w:r>
              <w:rPr>
                <w:rFonts w:ascii="Arial" w:cs="Arial" w:eastAsia="Arial" w:hAnsi="Arial"/>
                <w:i/>
                <w:iCs/>
                <w:color w:val="D6E8FB"/>
                <w:sz w:val="28"/>
                <w:szCs w:val="28"/>
              </w:rPr>
              <w:t xml:space="preserve">Product Requirement Document  —  Combined Edition</w:t>
            </w:r>
          </w:p>
          <w:p>
            <w:pPr>
              <w:spacing w:before="120" w:after="60"/>
              <w:jc w:val="center"/>
            </w:pPr>
            <w:r>
              <w:rPr>
                <w:rFonts w:ascii="Arial" w:cs="Arial" w:eastAsia="Arial" w:hAnsi="Arial"/>
                <w:color w:val="CBD5E1"/>
                <w:sz w:val="24"/>
                <w:szCs w:val="24"/>
              </w:rPr>
              <w:t xml:space="preserve">On-Premise → Cloud Migration Decision Assistant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Version 2.0  |  March 2026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0CECE" w:sz="1"/>
              <w:left w:val="single" w:color="A0CECE" w:sz="1"/>
              <w:bottom w:val="single" w:color="A0CECE" w:sz="1"/>
              <w:right w:val="single" w:color="A0CECE" w:sz="1"/>
            </w:tcBorders>
            <w:shd w:fill="D0EE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E7C7B"/>
                <w:sz w:val="24"/>
                <w:szCs w:val="24"/>
              </w:rPr>
              <w:t xml:space="preserve">About This Document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1E293B"/>
                <w:sz w:val="21"/>
                <w:szCs w:val="21"/>
              </w:rPr>
              <w:t xml:space="preserve">This document merges two independent specification drafts — one authored via ChatGPT and one authored via Claude — into a single, authoritative Product Requirement Document. The best elements of each have been preserved, reconciled, and extended. The ChatGPT draft contributed a clean decision algorithm structure, a concise 25-question bank, and a clear UX screen-by-screen flow. The Claude draft contributed a comprehensive compliance and security layer, extended provider coverage (IBM Cloud, Oracle Cloud), a weighted scoring rationale framework, hard-eliminator logic, and detailed acceptance criteria and KPIs. Together they form the most complete specification available for this feature.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5C" w:val="clear"/>
            <w:tcMar>
              <w:top w:type="dxa" w:w="140"/>
              <w:left w:type="dxa" w:w="240"/>
              <w:bottom w:type="dxa" w:w="1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74DA"/>
                <w:sz w:val="28"/>
                <w:szCs w:val="28"/>
              </w:rPr>
              <w:t xml:space="preserve">1.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Overview &amp; Problem Statement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756A9"/>
          <w:sz w:val="26"/>
          <w:szCs w:val="26"/>
        </w:rPr>
        <w:t xml:space="preserve">1.1  Purpose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Cloud Provider Advisor is an intelligent, questionnaire-driven feature that guides users transitioning from on-premise or local storage environments to cloud infrastructure. By collecting structured inputs across workload type, technical stack, compliance posture, and budget, the system produces a ranked recommendation of the most suitable cloud provider — acting as a trusted bridge through what is otherwise an overwhelming decision.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756A9"/>
          <w:sz w:val="26"/>
          <w:szCs w:val="26"/>
        </w:rPr>
        <w:t xml:space="preserve">1.2  Problem Statement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Startups and organizations moving off local infrastructure commonly face: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 familiarity with AWS, Azure, GCP, IBM Cloud, or Oracle Cloud differences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Confusion over pricing models — pay-as-you-go vs. reserved vs. spot pricing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Uncertainty about which compliance certifications (HIPAA, GDPR, FedRAMP, PCI-DSS) each provider satisfies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Risk of choosing a provider that is difficult to migrate away from (vendor lock-in)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Analysis paralysis from hundreds of competing services across providers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Delayed migration decisions resulting in continued on-premise cost drag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structured recommendation engine replaces guesswork with a repeatable, explainable decision process.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756A9"/>
          <w:sz w:val="26"/>
          <w:szCs w:val="26"/>
        </w:rPr>
        <w:t xml:space="preserve">1.3  Goals</w:t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Business Goals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Improve onboarding experience for cloud migration users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Position the product as a cloud advisory and migration planning tool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Collect infrastructure requirement data to power future cost-estimation features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Increase platform engagement and reduce time-to-first-migration</w:t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User Goals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Quickly identify the best-fit cloud provider in under 8 minutes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Understand clearly why a specific provider was recommended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Reduce research time and avoid costly post-migration re-platforming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Gain confidence before committing to a cloud vendor</w:t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Non-Goals (v1)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Automatic cloud account provisioning or migration execution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Live cost simulation with real-time pricing API calls (Phase 2)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Production-ready architecture generation (Phase 3)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756A9"/>
          <w:sz w:val="26"/>
          <w:szCs w:val="26"/>
        </w:rPr>
        <w:t xml:space="preserve">1.4  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Need</w:t>
            </w:r>
          </w:p>
        </w:tc>
      </w:tr>
      <w:tr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Startup Founder</w:t>
            </w:r>
          </w:p>
        </w:tc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Technical / Business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Simple, fast recommendation without cloud expertise</w:t>
            </w:r>
          </w:p>
        </w:tc>
      </w:tr>
      <w:tr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IT Manager</w:t>
            </w:r>
          </w:p>
        </w:tc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CTO / IT Director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Cost-effective, compliant platform for the organization</w:t>
            </w:r>
          </w:p>
        </w:tc>
      </w:tr>
      <w:tr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Solutions Architect</w:t>
            </w:r>
          </w:p>
        </w:tc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Cloud / Infra Architect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Best-fit services for a specific technical architecture</w:t>
            </w:r>
          </w:p>
        </w:tc>
      </w:tr>
      <w:tr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DevOps Engineer</w:t>
            </w:r>
          </w:p>
        </w:tc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Platform Engineer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Cloud-native tooling and CI/CD pipeline compatibility</w:t>
            </w:r>
          </w:p>
        </w:tc>
      </w:tr>
      <w:tr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Compliance Officer</w:t>
            </w:r>
          </w:p>
        </w:tc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Legal / Security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Regulatory alignment and data residency guarantees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5C" w:val="clear"/>
            <w:tcMar>
              <w:top w:type="dxa" w:w="140"/>
              <w:left w:type="dxa" w:w="240"/>
              <w:bottom w:type="dxa" w:w="1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74DA"/>
                <w:sz w:val="28"/>
                <w:szCs w:val="28"/>
              </w:rPr>
              <w:t xml:space="preserve">2.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Cloud Provider Decision Algorithm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756A9"/>
          <w:sz w:val="26"/>
          <w:szCs w:val="26"/>
        </w:rPr>
        <w:t xml:space="preserve">2.1  Evaluation Dimensions &amp; Weights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Each answer contributes a delta score to one or more providers, multiplied by the category weight. The final score is normalized to 100.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7680"/>
      </w:tblGrid>
      <w:tr>
        <w:tc>
          <w:tcPr>
            <w:tcW w:type="dxa" w:w="1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756A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7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8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Final Score = Σ (Answer Delta × Category Multiplier) / Max Possible Score × 100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4560"/>
      </w:tblGrid>
      <w:tr>
        <w:tc>
          <w:tcPr>
            <w:tcW w:type="dxa" w:w="3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Multiplier</w:t>
            </w:r>
          </w:p>
        </w:tc>
        <w:tc>
          <w:tcPr>
            <w:tcW w:type="dxa" w:w="4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Compliance &amp; Regulatory Requirements</w:t>
            </w:r>
          </w:p>
        </w:tc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74DA"/>
                <w:sz w:val="20"/>
                <w:szCs w:val="20"/>
              </w:rPr>
              <w:t xml:space="preserve">×3.0</w:t>
            </w:r>
          </w:p>
        </w:tc>
        <w:tc>
          <w:tcPr>
            <w:tcW w:type="dxa" w:w="4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Legal mandates are non-negotiable hard constraints</w:t>
            </w:r>
          </w:p>
        </w:tc>
      </w:tr>
      <w:tr>
        <w:tc>
          <w:tcPr>
            <w:tcW w:type="dxa" w:w="3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Primary Workload Type</w:t>
            </w:r>
          </w:p>
        </w:tc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74DA"/>
                <w:sz w:val="20"/>
                <w:szCs w:val="20"/>
              </w:rPr>
              <w:t xml:space="preserve">×2.5</w:t>
            </w:r>
          </w:p>
        </w:tc>
        <w:tc>
          <w:tcPr>
            <w:tcW w:type="dxa" w:w="4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Technical fit is the core utility dimension</w:t>
            </w:r>
          </w:p>
        </w:tc>
      </w:tr>
      <w:tr>
        <w:tc>
          <w:tcPr>
            <w:tcW w:type="dxa" w:w="3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Hybrid / Integration Needs</w:t>
            </w:r>
          </w:p>
        </w:tc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74DA"/>
                <w:sz w:val="20"/>
                <w:szCs w:val="20"/>
              </w:rPr>
              <w:t xml:space="preserve">×2.5</w:t>
            </w:r>
          </w:p>
        </w:tc>
        <w:tc>
          <w:tcPr>
            <w:tcW w:type="dxa" w:w="4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Architecture compatibility is often binary</w:t>
            </w:r>
          </w:p>
        </w:tc>
      </w:tr>
      <w:tr>
        <w:tc>
          <w:tcPr>
            <w:tcW w:type="dxa" w:w="3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Data Volume &amp; Storage</w:t>
            </w:r>
          </w:p>
        </w:tc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74DA"/>
                <w:sz w:val="20"/>
                <w:szCs w:val="20"/>
              </w:rPr>
              <w:t xml:space="preserve">×2.0</w:t>
            </w:r>
          </w:p>
        </w:tc>
        <w:tc>
          <w:tcPr>
            <w:tcW w:type="dxa" w:w="4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Egress costs are the most common hidden expense</w:t>
            </w:r>
          </w:p>
        </w:tc>
      </w:tr>
      <w:tr>
        <w:tc>
          <w:tcPr>
            <w:tcW w:type="dxa" w:w="3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Budget &amp; Cost Model</w:t>
            </w:r>
          </w:p>
        </w:tc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74DA"/>
                <w:sz w:val="20"/>
                <w:szCs w:val="20"/>
              </w:rPr>
              <w:t xml:space="preserve">×2.0</w:t>
            </w:r>
          </w:p>
        </w:tc>
        <w:tc>
          <w:tcPr>
            <w:tcW w:type="dxa" w:w="4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Constrains the entire feasible solution space</w:t>
            </w:r>
          </w:p>
        </w:tc>
      </w:tr>
      <w:tr>
        <w:tc>
          <w:tcPr>
            <w:tcW w:type="dxa" w:w="3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Security &amp; Encryption</w:t>
            </w:r>
          </w:p>
        </w:tc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74DA"/>
                <w:sz w:val="20"/>
                <w:szCs w:val="20"/>
              </w:rPr>
              <w:t xml:space="preserve">×2.0</w:t>
            </w:r>
          </w:p>
        </w:tc>
        <w:tc>
          <w:tcPr>
            <w:tcW w:type="dxa" w:w="4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Often driven by the same regulatory mandates</w:t>
            </w:r>
          </w:p>
        </w:tc>
      </w:tr>
      <w:tr>
        <w:tc>
          <w:tcPr>
            <w:tcW w:type="dxa" w:w="3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AI / ML Requirements</w:t>
            </w:r>
          </w:p>
        </w:tc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74DA"/>
                <w:sz w:val="20"/>
                <w:szCs w:val="20"/>
              </w:rPr>
              <w:t xml:space="preserve">×1.5</w:t>
            </w:r>
          </w:p>
        </w:tc>
        <w:tc>
          <w:tcPr>
            <w:tcW w:type="dxa" w:w="4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High differentiator for a subset of users</w:t>
            </w:r>
          </w:p>
        </w:tc>
      </w:tr>
      <w:tr>
        <w:tc>
          <w:tcPr>
            <w:tcW w:type="dxa" w:w="3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Support Level</w:t>
            </w:r>
          </w:p>
        </w:tc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74DA"/>
                <w:sz w:val="20"/>
                <w:szCs w:val="20"/>
              </w:rPr>
              <w:t xml:space="preserve">×1.5</w:t>
            </w:r>
          </w:p>
        </w:tc>
        <w:tc>
          <w:tcPr>
            <w:tcW w:type="dxa" w:w="4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Critical for enterprises, lower priority for startups</w:t>
            </w:r>
          </w:p>
        </w:tc>
      </w:tr>
      <w:tr>
        <w:tc>
          <w:tcPr>
            <w:tcW w:type="dxa" w:w="3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Vendor Ecosystem Fit</w:t>
            </w:r>
          </w:p>
        </w:tc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74DA"/>
                <w:sz w:val="20"/>
                <w:szCs w:val="20"/>
              </w:rPr>
              <w:t xml:space="preserve">×1.5</w:t>
            </w:r>
          </w:p>
        </w:tc>
        <w:tc>
          <w:tcPr>
            <w:tcW w:type="dxa" w:w="4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Existing tooling creates real migration switching costs</w:t>
            </w:r>
          </w:p>
        </w:tc>
      </w:tr>
      <w:tr>
        <w:tc>
          <w:tcPr>
            <w:tcW w:type="dxa" w:w="3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Scalability Needs</w:t>
            </w:r>
          </w:p>
        </w:tc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74DA"/>
                <w:sz w:val="20"/>
                <w:szCs w:val="20"/>
              </w:rPr>
              <w:t xml:space="preserve">×1.5</w:t>
            </w:r>
          </w:p>
        </w:tc>
        <w:tc>
          <w:tcPr>
            <w:tcW w:type="dxa" w:w="4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Affects architecture choices from day one</w:t>
            </w:r>
          </w:p>
        </w:tc>
      </w:tr>
      <w:tr>
        <w:tc>
          <w:tcPr>
            <w:tcW w:type="dxa" w:w="3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Open-Source Preference</w:t>
            </w:r>
          </w:p>
        </w:tc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74DA"/>
                <w:sz w:val="20"/>
                <w:szCs w:val="20"/>
              </w:rPr>
              <w:t xml:space="preserve">×1.0</w:t>
            </w:r>
          </w:p>
        </w:tc>
        <w:tc>
          <w:tcPr>
            <w:tcW w:type="dxa" w:w="4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Strong preference, rarely a sole decision-blocker</w:t>
            </w:r>
          </w:p>
        </w:tc>
      </w:tr>
      <w:tr>
        <w:tc>
          <w:tcPr>
            <w:tcW w:type="dxa" w:w="3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Existing Vendor Relationship</w:t>
            </w:r>
          </w:p>
        </w:tc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74DA"/>
                <w:sz w:val="20"/>
                <w:szCs w:val="20"/>
              </w:rPr>
              <w:t xml:space="preserve">×0.5</w:t>
            </w:r>
          </w:p>
        </w:tc>
        <w:tc>
          <w:tcPr>
            <w:tcW w:type="dxa" w:w="4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Noted but kept low-weight for objectivity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756A9"/>
          <w:sz w:val="26"/>
          <w:szCs w:val="26"/>
        </w:rPr>
        <w:t xml:space="preserve">2.2  Hard Eliminators (Pre-Scoring Filters)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Before weighted scoring begins, the following conditions immediately remove incompatible providers: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FedRAMP / GovCloud required  →  eliminates any provider without an approved GovCloud region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Data must reside in country X  →  eliminates providers with no data centre in that country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HIPAA required  →  eliminates providers that have not signed a Business Associate Agreement (BAA)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Budget &lt; $500/month  →  downranks enterprise-tier-only providers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Active-Active DR required  →  downranks providers with fewer than 3 global regions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Strict BYOK / HSM required  →  eliminates providers without customer-managed key support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756A9"/>
          <w:sz w:val="26"/>
          <w:szCs w:val="26"/>
        </w:rPr>
        <w:t xml:space="preserve">2.3  Score Initialization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7680"/>
      </w:tblGrid>
      <w:tr>
        <w:tc>
          <w:tcPr>
            <w:tcW w:type="dxa" w:w="1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756A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Initialize</w:t>
            </w:r>
          </w:p>
        </w:tc>
        <w:tc>
          <w:tcPr>
            <w:tcW w:type="dxa" w:w="7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AWS = 0   |   Azure = 0   |   GCP = 0   |   IBM = 0   |   Oracle = 0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756A9"/>
          <w:sz w:val="26"/>
          <w:szCs w:val="26"/>
        </w:rPr>
        <w:t xml:space="preserve">2.4  Score Deltas by Workload &amp; Stack</w:t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Workload 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500"/>
        <w:gridCol w:w="1500"/>
        <w:gridCol w:w="1500"/>
        <w:gridCol w:w="1500"/>
      </w:tblGrid>
      <w:tr>
        <w:tc>
          <w:tcPr>
            <w:tcW w:type="dxa" w:w="3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F2D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Workload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F2D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AWS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F2D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GCP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F2D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Azure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F2D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IBM / Oracle</w:t>
            </w:r>
          </w:p>
        </w:tc>
      </w:tr>
      <w:tr>
        <w:tc>
          <w:tcPr>
            <w:tcW w:type="dxa" w:w="3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Web Applications / APIs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AWS +3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GCP +2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Azure +1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Data Analytics / Warehousing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AWS +2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GCP +3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Azure +1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AI / Machine Learning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AWS +2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GCP +3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Azure +2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Enterprise Applications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AWS +2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Azure +3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GCP +1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IBM +3</w:t>
            </w:r>
          </w:p>
        </w:tc>
      </w:tr>
      <w:tr>
        <w:tc>
          <w:tcPr>
            <w:tcW w:type="dxa" w:w="3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Containers / Kubernetes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AWS +2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GCP +3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Azure +2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Oracle DB / ERP Workloads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Oracle +4</w:t>
            </w:r>
          </w:p>
        </w:tc>
      </w:tr>
      <w:tr>
        <w:tc>
          <w:tcPr>
            <w:tcW w:type="dxa" w:w="3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High-Performance Computing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AWS +3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GCP +2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Azure +2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Technical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500"/>
        <w:gridCol w:w="1500"/>
        <w:gridCol w:w="1500"/>
        <w:gridCol w:w="1500"/>
      </w:tblGrid>
      <w:tr>
        <w:tc>
          <w:tcPr>
            <w:tcW w:type="dxa" w:w="3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F2D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 Stack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F2D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AWS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F2D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GCP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F2D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Azure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F2D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IBM/Oracle</w:t>
            </w:r>
          </w:p>
        </w:tc>
      </w:tr>
      <w:tr>
        <w:tc>
          <w:tcPr>
            <w:tcW w:type="dxa" w:w="3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.NET / Microsoft Stack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Azure +4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AWS +1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GCP +0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Open Source / Linux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AWS +3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GCP +3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Azure +1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Kubernetes / Containers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GCP +3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AWS +2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Azure +2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Oracle / Java EE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Oracle+4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IBM +2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AWS +1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Python / Data Science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GCP +3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AWS +2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Azure +1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IBM / AIX / Db2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IBM +4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AWS +1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Budget Sensitivity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00"/>
        <w:gridCol w:w="2000"/>
        <w:gridCol w:w="2000"/>
      </w:tblGrid>
      <w:tr>
        <w:tc>
          <w:tcPr>
            <w:tcW w:type="dxa" w:w="3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F2D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Budget Tier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F2D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AWS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F2D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GCP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F2D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Azure</w:t>
            </w:r>
          </w:p>
        </w:tc>
      </w:tr>
      <w:tr>
        <w:tc>
          <w:tcPr>
            <w:tcW w:type="dxa" w:w="3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Highly cost-sensitive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AWS +2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GCP +3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Azure +1</w:t>
            </w:r>
          </w:p>
        </w:tc>
      </w:tr>
      <w:tr>
        <w:tc>
          <w:tcPr>
            <w:tcW w:type="dxa" w:w="3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Moderate sensitivity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AWS +2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GCP +2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Azure +2</w:t>
            </w:r>
          </w:p>
        </w:tc>
      </w:tr>
      <w:tr>
        <w:tc>
          <w:tcPr>
            <w:tcW w:type="dxa" w:w="3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Budget not a concern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AWS +2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GCP +1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Azure +3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Scalability &amp; Cloud Expertise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00"/>
        <w:gridCol w:w="2000"/>
        <w:gridCol w:w="2000"/>
      </w:tblGrid>
      <w:tr>
        <w:tc>
          <w:tcPr>
            <w:tcW w:type="dxa" w:w="3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F2D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F2D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AWS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F2D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GCP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F2D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Azure</w:t>
            </w:r>
          </w:p>
        </w:tc>
      </w:tr>
      <w:tr>
        <w:tc>
          <w:tcPr>
            <w:tcW w:type="dxa" w:w="3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Rapid scaling expected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AWS +3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GCP +2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Azure +2</w:t>
            </w:r>
          </w:p>
        </w:tc>
      </w:tr>
      <w:tr>
        <w:tc>
          <w:tcPr>
            <w:tcW w:type="dxa" w:w="3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Moderate growth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AWS +2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GCP +2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Azure +2</w:t>
            </w:r>
          </w:p>
        </w:tc>
      </w:tr>
      <w:tr>
        <w:tc>
          <w:tcPr>
            <w:tcW w:type="dxa" w:w="3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No cloud experience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AWS +1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Azure +2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GCP +2</w:t>
            </w:r>
          </w:p>
        </w:tc>
      </w:tr>
      <w:tr>
        <w:tc>
          <w:tcPr>
            <w:tcW w:type="dxa" w:w="3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Experienced DevOps team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AWS +3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GCP +2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Azure +2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756A9"/>
          <w:sz w:val="26"/>
          <w:szCs w:val="26"/>
        </w:rPr>
        <w:t xml:space="preserve">2.5  Recommendation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 Score</w:t>
            </w:r>
          </w:p>
        </w:tc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AWS</w:t>
            </w:r>
          </w:p>
        </w:tc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78 / 100</w:t>
            </w:r>
          </w:p>
        </w:tc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RECOMMENDED</w:t>
            </w:r>
          </w:p>
        </w:tc>
      </w:tr>
      <w:tr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8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GCP</w:t>
            </w:r>
          </w:p>
        </w:tc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8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65 / 100</w:t>
            </w:r>
          </w:p>
        </w:tc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8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Alternative</w:t>
            </w:r>
          </w:p>
        </w:tc>
      </w:tr>
      <w:tr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Azure</w:t>
            </w:r>
          </w:p>
        </w:tc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52 / 100</w:t>
            </w:r>
          </w:p>
        </w:tc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7680"/>
      </w:tblGrid>
      <w:tr>
        <w:tc>
          <w:tcPr>
            <w:tcW w:type="dxa" w:w="1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756A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</w:t>
            </w:r>
          </w:p>
        </w:tc>
        <w:tc>
          <w:tcPr>
            <w:tcW w:type="dxa" w:w="7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Provider = MAX(Σ weighted scores). In a tie, the provider with higher scores on the user's highest-weight categories wins.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5C" w:val="clear"/>
            <w:tcMar>
              <w:top w:type="dxa" w:w="140"/>
              <w:left w:type="dxa" w:w="240"/>
              <w:bottom w:type="dxa" w:w="1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74DA"/>
                <w:sz w:val="28"/>
                <w:szCs w:val="28"/>
              </w:rPr>
              <w:t xml:space="preserve">3.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Cloud Provider Capability Matrix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matrix below scores each provider (1–10) across eight capability dimensions. This informs both the scoring engine and the explanation text shown to the user on the recommendation screen.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080"/>
        <w:gridCol w:w="1800"/>
        <w:gridCol w:w="1800"/>
        <w:gridCol w:w="1800"/>
      </w:tblGrid>
      <w:tr>
        <w:tc>
          <w:tcPr>
            <w:tcW w:type="dxa" w:w="28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F2D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10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F2D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F2D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AWS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F2D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Azure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F2D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GCP</w:t>
            </w:r>
          </w:p>
        </w:tc>
      </w:tr>
      <w:tr>
        <w:tc>
          <w:tcPr>
            <w:tcW w:type="dxa" w:w="28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10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74DA"/>
                <w:sz w:val="20"/>
                <w:szCs w:val="20"/>
              </w:rPr>
              <w:t xml:space="preserve">20%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9 ★★★★★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8 ★★★★☆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8 ★★★★☆</w:t>
            </w:r>
          </w:p>
        </w:tc>
      </w:tr>
      <w:tr>
        <w:tc>
          <w:tcPr>
            <w:tcW w:type="dxa" w:w="28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Cost Efficiency</w:t>
            </w:r>
          </w:p>
        </w:tc>
        <w:tc>
          <w:tcPr>
            <w:tcW w:type="dxa" w:w="10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74DA"/>
                <w:sz w:val="20"/>
                <w:szCs w:val="20"/>
              </w:rPr>
              <w:t xml:space="preserve">15%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7 ★★★☆☆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7 ★★★☆☆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9 ★★★★★</w:t>
            </w:r>
          </w:p>
        </w:tc>
      </w:tr>
      <w:tr>
        <w:tc>
          <w:tcPr>
            <w:tcW w:type="dxa" w:w="28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Developer Ecosystem</w:t>
            </w:r>
          </w:p>
        </w:tc>
        <w:tc>
          <w:tcPr>
            <w:tcW w:type="dxa" w:w="10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74DA"/>
                <w:sz w:val="20"/>
                <w:szCs w:val="20"/>
              </w:rPr>
              <w:t xml:space="preserve">15%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10 ★★★★★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8 ★★★★☆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8 ★★★★☆</w:t>
            </w:r>
          </w:p>
        </w:tc>
      </w:tr>
      <w:tr>
        <w:tc>
          <w:tcPr>
            <w:tcW w:type="dxa" w:w="28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AI / Machine Learning</w:t>
            </w:r>
          </w:p>
        </w:tc>
        <w:tc>
          <w:tcPr>
            <w:tcW w:type="dxa" w:w="10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74DA"/>
                <w:sz w:val="20"/>
                <w:szCs w:val="20"/>
              </w:rPr>
              <w:t xml:space="preserve">10%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8 ★★★★☆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8 ★★★★☆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10 ★★★★★</w:t>
            </w:r>
          </w:p>
        </w:tc>
      </w:tr>
      <w:tr>
        <w:tc>
          <w:tcPr>
            <w:tcW w:type="dxa" w:w="28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Enterprise Integration</w:t>
            </w:r>
          </w:p>
        </w:tc>
        <w:tc>
          <w:tcPr>
            <w:tcW w:type="dxa" w:w="10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74DA"/>
                <w:sz w:val="20"/>
                <w:szCs w:val="20"/>
              </w:rPr>
              <w:t xml:space="preserve">10%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7 ★★★☆☆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10 ★★★★★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7 ★★★☆☆</w:t>
            </w:r>
          </w:p>
        </w:tc>
      </w:tr>
      <w:tr>
        <w:tc>
          <w:tcPr>
            <w:tcW w:type="dxa" w:w="28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Containers / Kubernetes</w:t>
            </w:r>
          </w:p>
        </w:tc>
        <w:tc>
          <w:tcPr>
            <w:tcW w:type="dxa" w:w="10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74DA"/>
                <w:sz w:val="20"/>
                <w:szCs w:val="20"/>
              </w:rPr>
              <w:t xml:space="preserve">10%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8 ★★★★☆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8 ★★★★☆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10 ★★★★★</w:t>
            </w:r>
          </w:p>
        </w:tc>
      </w:tr>
      <w:tr>
        <w:tc>
          <w:tcPr>
            <w:tcW w:type="dxa" w:w="28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Migration Tooling</w:t>
            </w:r>
          </w:p>
        </w:tc>
        <w:tc>
          <w:tcPr>
            <w:tcW w:type="dxa" w:w="10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74DA"/>
                <w:sz w:val="20"/>
                <w:szCs w:val="20"/>
              </w:rPr>
              <w:t xml:space="preserve">10%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9 ★★★★★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9 ★★★★★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7 ★★★☆☆</w:t>
            </w:r>
          </w:p>
        </w:tc>
      </w:tr>
      <w:tr>
        <w:tc>
          <w:tcPr>
            <w:tcW w:type="dxa" w:w="28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Ease of Use</w:t>
            </w:r>
          </w:p>
        </w:tc>
        <w:tc>
          <w:tcPr>
            <w:tcW w:type="dxa" w:w="10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74DA"/>
                <w:sz w:val="20"/>
                <w:szCs w:val="20"/>
              </w:rPr>
              <w:t xml:space="preserve">10%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7 ★★★☆☆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8 ★★★★☆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9 ★★★★★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756A9"/>
          <w:sz w:val="26"/>
          <w:szCs w:val="26"/>
        </w:rPr>
        <w:t xml:space="preserve">3.1  Provider Best-Fit Profiles</w:t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Amazon Web Services (AWS)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Best for web apps, SaaS platforms, and polyglot enterprise architectures needing the broadest service catalogue and global reach. Strongest migration tooling (AWS Migration Hub, DMS, Server Migration Service).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Watch for: Complex pricing structure; egress fees can surprise cost-sensitive teams</w:t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Microsoft Azure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Best for organizations on the Microsoft stack (Active Directory, .NET, SQL Server, Office 365) or those needing the strongest hybrid cloud connectivity via Azure Arc.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Watch for: Portal complexity; premium support tiers can be expensive</w:t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Google Cloud Platform (GCP)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Best for data-intensive workloads, AI/ML products, and teams that value open-source standards. Kubernetes originated here; BigQuery and Vertex AI are best-in-class.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Watch for: Smaller partner network; fewer regions in some geographies vs. AWS/Azure</w:t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IBM Cloud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Best for enterprises with existing IBM software (Db2, WebSphere, MQ) and financial services firms needing LinuxONE or Z integration. Strong regulated-industry compliance story.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Watch for: Narrower general-purpose catalogue; smaller developer community</w:t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Oracle Cloud Infrastructure (OCI)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Best for Oracle Database and ERP workloads under the Bring Your Own License programme. Often the lowest-cost option for Oracle-licensed software.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Watch for: Limited appeal outside the Oracle ecosystem; smaller ISV partner network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5C" w:val="clear"/>
            <w:tcMar>
              <w:top w:type="dxa" w:w="140"/>
              <w:left w:type="dxa" w:w="240"/>
              <w:bottom w:type="dxa" w:w="1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74DA"/>
                <w:sz w:val="28"/>
                <w:szCs w:val="28"/>
              </w:rPr>
              <w:t xml:space="preserve">4.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Expert Assessment Questionnaire  (25 Questions)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Questions are grouped into five thematic stages. Smart branching reduces the presented questions to 12–15 for most users. Each card shows the scoring weight and a branching logic note for the engineering team.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756A9"/>
          <w:sz w:val="26"/>
          <w:szCs w:val="26"/>
        </w:rPr>
        <w:t xml:space="preserve">Stage A — Infrastructure &amp; Data  (Q1–Q5)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756A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E8FB"/>
                <w:sz w:val="20"/>
                <w:szCs w:val="20"/>
              </w:rPr>
              <w:t xml:space="preserve">Q1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much total data do you currently store on-premise?</w:t>
            </w:r>
          </w:p>
        </w:tc>
      </w:tr>
      <w:tr>
        <w:tc>
          <w:tcPr>
            <w:tcW w:type="dxa" w:w="9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80"/>
              <w:left w:type="dxa" w:w="24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►  Less than 1 TB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►  1 TB – 10 TB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►  10 TB – 100 TB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►  100 TB – 1 PB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►  More than 1 PB</w:t>
            </w:r>
          </w:p>
        </w:tc>
      </w:tr>
      <w:tr>
        <w:tc>
          <w:tcPr>
            <w:tcW w:type="dxa" w:w="9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B4"/>
                <w:sz w:val="19"/>
                <w:szCs w:val="19"/>
              </w:rPr>
              <w:t xml:space="preserve">Weight: </w:t>
            </w:r>
            <w:r>
              <w:rPr>
                <w:rFonts w:ascii="Arial" w:cs="Arial" w:eastAsia="Arial" w:hAnsi="Arial"/>
                <w:color w:val="0A74DA"/>
                <w:sz w:val="19"/>
                <w:szCs w:val="19"/>
              </w:rPr>
              <w:t xml:space="preserve">High</w:t>
            </w:r>
            <w:r>
              <w:rPr>
                <w:rFonts w:ascii="Arial" w:cs="Arial" w:eastAsia="Arial" w:hAnsi="Arial"/>
                <w:b/>
                <w:bCs/>
                <w:color w:val="2E6DB4"/>
                <w:sz w:val="19"/>
                <w:szCs w:val="19"/>
              </w:rPr>
              <w:t xml:space="preserve">     Branching note: </w:t>
            </w:r>
            <w:r>
              <w:rPr>
                <w:rFonts w:ascii="Arial" w:cs="Arial" w:eastAsia="Arial" w:hAnsi="Arial"/>
                <w:i/>
                <w:iCs/>
                <w:color w:val="334155"/>
                <w:sz w:val="19"/>
                <w:szCs w:val="19"/>
              </w:rPr>
              <w:t xml:space="preserve">Drives egress cost sensitivity and storage class recommendations across all providers.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756A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E8FB"/>
                <w:sz w:val="20"/>
                <w:szCs w:val="20"/>
              </w:rPr>
              <w:t xml:space="preserve">Q2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percentage of your stored data changes or is written daily?</w:t>
            </w:r>
          </w:p>
        </w:tc>
      </w:tr>
      <w:tr>
        <w:tc>
          <w:tcPr>
            <w:tcW w:type="dxa" w:w="9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80"/>
              <w:left w:type="dxa" w:w="24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►  Less than 5% — mostly read-only archive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►  5–30% — moderate transactional activity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►  More than 30% — highly active datasets</w:t>
            </w:r>
          </w:p>
        </w:tc>
      </w:tr>
      <w:tr>
        <w:tc>
          <w:tcPr>
            <w:tcW w:type="dxa" w:w="9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B4"/>
                <w:sz w:val="19"/>
                <w:szCs w:val="19"/>
              </w:rPr>
              <w:t xml:space="preserve">Weight: </w:t>
            </w:r>
            <w:r>
              <w:rPr>
                <w:rFonts w:ascii="Arial" w:cs="Arial" w:eastAsia="Arial" w:hAnsi="Arial"/>
                <w:color w:val="0A74DA"/>
                <w:sz w:val="19"/>
                <w:szCs w:val="19"/>
              </w:rPr>
              <w:t xml:space="preserve">Medium</w:t>
            </w:r>
            <w:r>
              <w:rPr>
                <w:rFonts w:ascii="Arial" w:cs="Arial" w:eastAsia="Arial" w:hAnsi="Arial"/>
                <w:b/>
                <w:bCs/>
                <w:color w:val="2E6DB4"/>
                <w:sz w:val="19"/>
                <w:szCs w:val="19"/>
              </w:rPr>
              <w:t xml:space="preserve">     Branching note: </w:t>
            </w:r>
            <w:r>
              <w:rPr>
                <w:rFonts w:ascii="Arial" w:cs="Arial" w:eastAsia="Arial" w:hAnsi="Arial"/>
                <w:i/>
                <w:iCs/>
                <w:color w:val="334155"/>
                <w:sz w:val="19"/>
                <w:szCs w:val="19"/>
              </w:rPr>
              <w:t xml:space="preserve">High churn favours object storage with low PUT pricing; skip Q3 if &gt;30%.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756A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E8FB"/>
                <w:sz w:val="20"/>
                <w:szCs w:val="20"/>
              </w:rPr>
              <w:t xml:space="preserve">Q3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 you require archival or cold storage for infrequently accessed data?</w:t>
            </w:r>
          </w:p>
        </w:tc>
      </w:tr>
      <w:tr>
        <w:tc>
          <w:tcPr>
            <w:tcW w:type="dxa" w:w="9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80"/>
              <w:left w:type="dxa" w:w="24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►  Yes — significant volume of cold/archival data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►  No — all data is actively accessed</w:t>
            </w:r>
          </w:p>
        </w:tc>
      </w:tr>
      <w:tr>
        <w:tc>
          <w:tcPr>
            <w:tcW w:type="dxa" w:w="9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B4"/>
                <w:sz w:val="19"/>
                <w:szCs w:val="19"/>
              </w:rPr>
              <w:t xml:space="preserve">Weight: </w:t>
            </w:r>
            <w:r>
              <w:rPr>
                <w:rFonts w:ascii="Arial" w:cs="Arial" w:eastAsia="Arial" w:hAnsi="Arial"/>
                <w:color w:val="0A74DA"/>
                <w:sz w:val="19"/>
                <w:szCs w:val="19"/>
              </w:rPr>
              <w:t xml:space="preserve">Medium</w:t>
            </w:r>
            <w:r>
              <w:rPr>
                <w:rFonts w:ascii="Arial" w:cs="Arial" w:eastAsia="Arial" w:hAnsi="Arial"/>
                <w:b/>
                <w:bCs/>
                <w:color w:val="2E6DB4"/>
                <w:sz w:val="19"/>
                <w:szCs w:val="19"/>
              </w:rPr>
              <w:t xml:space="preserve">     Branching note: </w:t>
            </w:r>
            <w:r>
              <w:rPr>
                <w:rFonts w:ascii="Arial" w:cs="Arial" w:eastAsia="Arial" w:hAnsi="Arial"/>
                <w:i/>
                <w:iCs/>
                <w:color w:val="334155"/>
                <w:sz w:val="19"/>
                <w:szCs w:val="19"/>
              </w:rPr>
              <w:t xml:space="preserve">Skip if previous answer was &gt;30% daily change.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756A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E8FB"/>
                <w:sz w:val="20"/>
                <w:szCs w:val="20"/>
              </w:rPr>
              <w:t xml:space="preserve">Q4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is the largest single file or object you need to store?</w:t>
            </w:r>
          </w:p>
        </w:tc>
      </w:tr>
      <w:tr>
        <w:tc>
          <w:tcPr>
            <w:tcW w:type="dxa" w:w="9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80"/>
              <w:left w:type="dxa" w:w="24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►  Under 5 GB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►  5 GB – 500 GB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►  Over 500 GB (e.g., video, large DB dumps, genomics)</w:t>
            </w:r>
          </w:p>
        </w:tc>
      </w:tr>
      <w:tr>
        <w:tc>
          <w:tcPr>
            <w:tcW w:type="dxa" w:w="9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B4"/>
                <w:sz w:val="19"/>
                <w:szCs w:val="19"/>
              </w:rPr>
              <w:t xml:space="preserve">Weight: </w:t>
            </w:r>
            <w:r>
              <w:rPr>
                <w:rFonts w:ascii="Arial" w:cs="Arial" w:eastAsia="Arial" w:hAnsi="Arial"/>
                <w:color w:val="0A74DA"/>
                <w:sz w:val="19"/>
                <w:szCs w:val="19"/>
              </w:rPr>
              <w:t xml:space="preserve">Low</w:t>
            </w:r>
            <w:r>
              <w:rPr>
                <w:rFonts w:ascii="Arial" w:cs="Arial" w:eastAsia="Arial" w:hAnsi="Arial"/>
                <w:b/>
                <w:bCs/>
                <w:color w:val="2E6DB4"/>
                <w:sz w:val="19"/>
                <w:szCs w:val="19"/>
              </w:rPr>
              <w:t xml:space="preserve">     Branching note: </w:t>
            </w:r>
            <w:r>
              <w:rPr>
                <w:rFonts w:ascii="Arial" w:cs="Arial" w:eastAsia="Arial" w:hAnsi="Arial"/>
                <w:i/>
                <w:iCs/>
                <w:color w:val="334155"/>
                <w:sz w:val="19"/>
                <w:szCs w:val="19"/>
              </w:rPr>
              <w:t xml:space="preserve">Very large objects require multipart upload support — all major providers support this.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756A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E8FB"/>
                <w:sz w:val="20"/>
                <w:szCs w:val="20"/>
              </w:rPr>
              <w:t xml:space="preserve">Q5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 you require your application to be available across multiple geographic regions simultaneously?</w:t>
            </w:r>
          </w:p>
        </w:tc>
      </w:tr>
      <w:tr>
        <w:tc>
          <w:tcPr>
            <w:tcW w:type="dxa" w:w="9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80"/>
              <w:left w:type="dxa" w:w="24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►  Yes — active-active multi-region (simultaneous)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►  Yes — active-passive (failover only)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►  No — single region is sufficient</w:t>
            </w:r>
          </w:p>
        </w:tc>
      </w:tr>
      <w:tr>
        <w:tc>
          <w:tcPr>
            <w:tcW w:type="dxa" w:w="9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B4"/>
                <w:sz w:val="19"/>
                <w:szCs w:val="19"/>
              </w:rPr>
              <w:t xml:space="preserve">Weight: </w:t>
            </w:r>
            <w:r>
              <w:rPr>
                <w:rFonts w:ascii="Arial" w:cs="Arial" w:eastAsia="Arial" w:hAnsi="Arial"/>
                <w:color w:val="0A74DA"/>
                <w:sz w:val="19"/>
                <w:szCs w:val="19"/>
              </w:rPr>
              <w:t xml:space="preserve">High</w:t>
            </w:r>
            <w:r>
              <w:rPr>
                <w:rFonts w:ascii="Arial" w:cs="Arial" w:eastAsia="Arial" w:hAnsi="Arial"/>
                <w:b/>
                <w:bCs/>
                <w:color w:val="2E6DB4"/>
                <w:sz w:val="19"/>
                <w:szCs w:val="19"/>
              </w:rPr>
              <w:t xml:space="preserve">     Branching note: </w:t>
            </w:r>
            <w:r>
              <w:rPr>
                <w:rFonts w:ascii="Arial" w:cs="Arial" w:eastAsia="Arial" w:hAnsi="Arial"/>
                <w:i/>
                <w:iCs/>
                <w:color w:val="334155"/>
                <w:sz w:val="19"/>
                <w:szCs w:val="19"/>
              </w:rPr>
              <w:t xml:space="preserve">Active-active multi-region triggers the DR hard-eliminator filter.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756A9"/>
          <w:sz w:val="26"/>
          <w:szCs w:val="26"/>
        </w:rPr>
        <w:t xml:space="preserve">Stage B — Application Architecture  (Q6–Q10)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756A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E8FB"/>
                <w:sz w:val="20"/>
                <w:szCs w:val="20"/>
              </w:rPr>
              <w:t xml:space="preserve">Q6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Is your application monolithic or microservices-based?</w:t>
            </w:r>
          </w:p>
        </w:tc>
      </w:tr>
      <w:tr>
        <w:tc>
          <w:tcPr>
            <w:tcW w:type="dxa" w:w="9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80"/>
              <w:left w:type="dxa" w:w="24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►  Monolithic — single deployable unit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►  Microservices — independently deployable services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►  Mixed / transitioning to microservices</w:t>
            </w:r>
          </w:p>
        </w:tc>
      </w:tr>
      <w:tr>
        <w:tc>
          <w:tcPr>
            <w:tcW w:type="dxa" w:w="9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B4"/>
                <w:sz w:val="19"/>
                <w:szCs w:val="19"/>
              </w:rPr>
              <w:t xml:space="preserve">Weight: </w:t>
            </w:r>
            <w:r>
              <w:rPr>
                <w:rFonts w:ascii="Arial" w:cs="Arial" w:eastAsia="Arial" w:hAnsi="Arial"/>
                <w:color w:val="0A74DA"/>
                <w:sz w:val="19"/>
                <w:szCs w:val="19"/>
              </w:rPr>
              <w:t xml:space="preserve">Medium</w:t>
            </w:r>
            <w:r>
              <w:rPr>
                <w:rFonts w:ascii="Arial" w:cs="Arial" w:eastAsia="Arial" w:hAnsi="Arial"/>
                <w:b/>
                <w:bCs/>
                <w:color w:val="2E6DB4"/>
                <w:sz w:val="19"/>
                <w:szCs w:val="19"/>
              </w:rPr>
              <w:t xml:space="preserve">     Branching note: </w:t>
            </w:r>
            <w:r>
              <w:rPr>
                <w:rFonts w:ascii="Arial" w:cs="Arial" w:eastAsia="Arial" w:hAnsi="Arial"/>
                <w:i/>
                <w:iCs/>
                <w:color w:val="334155"/>
                <w:sz w:val="19"/>
                <w:szCs w:val="19"/>
              </w:rPr>
              <w:t xml:space="preserve">Microservices boost container/Kubernetes scoring for GCP and AWS.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756A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E8FB"/>
                <w:sz w:val="20"/>
                <w:szCs w:val="20"/>
              </w:rPr>
              <w:t xml:space="preserve">Q7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 you currently use or plan to use containers (Docker / Kubernetes)?</w:t>
            </w:r>
          </w:p>
        </w:tc>
      </w:tr>
      <w:tr>
        <w:tc>
          <w:tcPr>
            <w:tcW w:type="dxa" w:w="9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80"/>
              <w:left w:type="dxa" w:w="24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►  Yes — actively using in production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►  Yes — planning to adopt during migration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►  No — no container plans</w:t>
            </w:r>
          </w:p>
        </w:tc>
      </w:tr>
      <w:tr>
        <w:tc>
          <w:tcPr>
            <w:tcW w:type="dxa" w:w="9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B4"/>
                <w:sz w:val="19"/>
                <w:szCs w:val="19"/>
              </w:rPr>
              <w:t xml:space="preserve">Weight: </w:t>
            </w:r>
            <w:r>
              <w:rPr>
                <w:rFonts w:ascii="Arial" w:cs="Arial" w:eastAsia="Arial" w:hAnsi="Arial"/>
                <w:color w:val="0A74DA"/>
                <w:sz w:val="19"/>
                <w:szCs w:val="19"/>
              </w:rPr>
              <w:t xml:space="preserve">High</w:t>
            </w:r>
            <w:r>
              <w:rPr>
                <w:rFonts w:ascii="Arial" w:cs="Arial" w:eastAsia="Arial" w:hAnsi="Arial"/>
                <w:b/>
                <w:bCs/>
                <w:color w:val="2E6DB4"/>
                <w:sz w:val="19"/>
                <w:szCs w:val="19"/>
              </w:rPr>
              <w:t xml:space="preserve">     Branching note: </w:t>
            </w:r>
            <w:r>
              <w:rPr>
                <w:rFonts w:ascii="Arial" w:cs="Arial" w:eastAsia="Arial" w:hAnsi="Arial"/>
                <w:i/>
                <w:iCs/>
                <w:color w:val="334155"/>
                <w:sz w:val="19"/>
                <w:szCs w:val="19"/>
              </w:rPr>
              <w:t xml:space="preserve">Yes answers add +3 GCP, +2 AWS, +2 Azure.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756A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E8FB"/>
                <w:sz w:val="20"/>
                <w:szCs w:val="20"/>
              </w:rPr>
              <w:t xml:space="preserve">Q8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type of database does your application use?</w:t>
            </w:r>
          </w:p>
        </w:tc>
      </w:tr>
      <w:tr>
        <w:tc>
          <w:tcPr>
            <w:tcW w:type="dxa" w:w="9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80"/>
              <w:left w:type="dxa" w:w="24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►  Relational (PostgreSQL, MySQL, SQL Server, Oracle DB)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►  NoSQL (MongoDB, Cassandra, DynamoDB-style)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►  Both relational and NoSQL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►  Data warehouse / analytical DB (Redshift, BigQuery style)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►  Oracle DB specifically</w:t>
            </w:r>
          </w:p>
        </w:tc>
      </w:tr>
      <w:tr>
        <w:tc>
          <w:tcPr>
            <w:tcW w:type="dxa" w:w="9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B4"/>
                <w:sz w:val="19"/>
                <w:szCs w:val="19"/>
              </w:rPr>
              <w:t xml:space="preserve">Weight: </w:t>
            </w:r>
            <w:r>
              <w:rPr>
                <w:rFonts w:ascii="Arial" w:cs="Arial" w:eastAsia="Arial" w:hAnsi="Arial"/>
                <w:color w:val="0A74DA"/>
                <w:sz w:val="19"/>
                <w:szCs w:val="19"/>
              </w:rPr>
              <w:t xml:space="preserve">High</w:t>
            </w:r>
            <w:r>
              <w:rPr>
                <w:rFonts w:ascii="Arial" w:cs="Arial" w:eastAsia="Arial" w:hAnsi="Arial"/>
                <w:b/>
                <w:bCs/>
                <w:color w:val="2E6DB4"/>
                <w:sz w:val="19"/>
                <w:szCs w:val="19"/>
              </w:rPr>
              <w:t xml:space="preserve">     Branching note: </w:t>
            </w:r>
            <w:r>
              <w:rPr>
                <w:rFonts w:ascii="Arial" w:cs="Arial" w:eastAsia="Arial" w:hAnsi="Arial"/>
                <w:i/>
                <w:iCs/>
                <w:color w:val="334155"/>
                <w:sz w:val="19"/>
                <w:szCs w:val="19"/>
              </w:rPr>
              <w:t xml:space="preserve">Oracle DB answer triggers Oracle Cloud scoring boost.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756A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E8FB"/>
                <w:sz w:val="20"/>
                <w:szCs w:val="20"/>
              </w:rPr>
              <w:t xml:space="preserve">Q9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Is your application stateless or stateful?</w:t>
            </w:r>
          </w:p>
        </w:tc>
      </w:tr>
      <w:tr>
        <w:tc>
          <w:tcPr>
            <w:tcW w:type="dxa" w:w="9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80"/>
              <w:left w:type="dxa" w:w="24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►  Stateless — any instance is interchangeable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►  Stateful — sessions or data tied to specific instances</w:t>
            </w:r>
          </w:p>
        </w:tc>
      </w:tr>
      <w:tr>
        <w:tc>
          <w:tcPr>
            <w:tcW w:type="dxa" w:w="9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B4"/>
                <w:sz w:val="19"/>
                <w:szCs w:val="19"/>
              </w:rPr>
              <w:t xml:space="preserve">Weight: </w:t>
            </w:r>
            <w:r>
              <w:rPr>
                <w:rFonts w:ascii="Arial" w:cs="Arial" w:eastAsia="Arial" w:hAnsi="Arial"/>
                <w:color w:val="0A74DA"/>
                <w:sz w:val="19"/>
                <w:szCs w:val="19"/>
              </w:rPr>
              <w:t xml:space="preserve">Medium</w:t>
            </w:r>
            <w:r>
              <w:rPr>
                <w:rFonts w:ascii="Arial" w:cs="Arial" w:eastAsia="Arial" w:hAnsi="Arial"/>
                <w:b/>
                <w:bCs/>
                <w:color w:val="2E6DB4"/>
                <w:sz w:val="19"/>
                <w:szCs w:val="19"/>
              </w:rPr>
              <w:t xml:space="preserve">     Branching note: </w:t>
            </w:r>
            <w:r>
              <w:rPr>
                <w:rFonts w:ascii="Arial" w:cs="Arial" w:eastAsia="Arial" w:hAnsi="Arial"/>
                <w:i/>
                <w:iCs/>
                <w:color w:val="334155"/>
                <w:sz w:val="19"/>
                <w:szCs w:val="19"/>
              </w:rPr>
              <w:t xml:space="preserve">Stateful applications require persistent storage and careful migration planning.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756A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E8FB"/>
                <w:sz w:val="20"/>
                <w:szCs w:val="20"/>
              </w:rPr>
              <w:t xml:space="preserve">Q10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 you require automatic scaling based on traffic load?</w:t>
            </w:r>
          </w:p>
        </w:tc>
      </w:tr>
      <w:tr>
        <w:tc>
          <w:tcPr>
            <w:tcW w:type="dxa" w:w="9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80"/>
              <w:left w:type="dxa" w:w="24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►  Yes — auto-scaling is essential to our architecture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►  Maybe — we expect growth but haven't implemented it yet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►  No — fixed capacity is sufficient</w:t>
            </w:r>
          </w:p>
        </w:tc>
      </w:tr>
      <w:tr>
        <w:tc>
          <w:tcPr>
            <w:tcW w:type="dxa" w:w="9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B4"/>
                <w:sz w:val="19"/>
                <w:szCs w:val="19"/>
              </w:rPr>
              <w:t xml:space="preserve">Weight: </w:t>
            </w:r>
            <w:r>
              <w:rPr>
                <w:rFonts w:ascii="Arial" w:cs="Arial" w:eastAsia="Arial" w:hAnsi="Arial"/>
                <w:color w:val="0A74DA"/>
                <w:sz w:val="19"/>
                <w:szCs w:val="19"/>
              </w:rPr>
              <w:t xml:space="preserve">High</w:t>
            </w:r>
            <w:r>
              <w:rPr>
                <w:rFonts w:ascii="Arial" w:cs="Arial" w:eastAsia="Arial" w:hAnsi="Arial"/>
                <w:b/>
                <w:bCs/>
                <w:color w:val="2E6DB4"/>
                <w:sz w:val="19"/>
                <w:szCs w:val="19"/>
              </w:rPr>
              <w:t xml:space="preserve">     Branching note: </w:t>
            </w:r>
            <w:r>
              <w:rPr>
                <w:rFonts w:ascii="Arial" w:cs="Arial" w:eastAsia="Arial" w:hAnsi="Arial"/>
                <w:i/>
                <w:iCs/>
                <w:color w:val="334155"/>
                <w:sz w:val="19"/>
                <w:szCs w:val="19"/>
              </w:rPr>
              <w:t xml:space="preserve">Auto-scaling requirement adds +3 AWS, +2 GCP, +2 Azure.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756A9"/>
          <w:sz w:val="26"/>
          <w:szCs w:val="26"/>
        </w:rPr>
        <w:t xml:space="preserve">Stage C — Performance &amp; Compliance  (Q11–Q17)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756A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E8FB"/>
                <w:sz w:val="20"/>
                <w:szCs w:val="20"/>
              </w:rPr>
              <w:t xml:space="preserve">Q11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is your expected number of monthly active users at launch?</w:t>
            </w:r>
          </w:p>
        </w:tc>
      </w:tr>
      <w:tr>
        <w:tc>
          <w:tcPr>
            <w:tcW w:type="dxa" w:w="9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80"/>
              <w:left w:type="dxa" w:w="24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►  Under 10,000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►  10,000 – 1 million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►  Over 1 million</w:t>
            </w:r>
          </w:p>
        </w:tc>
      </w:tr>
      <w:tr>
        <w:tc>
          <w:tcPr>
            <w:tcW w:type="dxa" w:w="9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B4"/>
                <w:sz w:val="19"/>
                <w:szCs w:val="19"/>
              </w:rPr>
              <w:t xml:space="preserve">Weight: </w:t>
            </w:r>
            <w:r>
              <w:rPr>
                <w:rFonts w:ascii="Arial" w:cs="Arial" w:eastAsia="Arial" w:hAnsi="Arial"/>
                <w:color w:val="0A74DA"/>
                <w:sz w:val="19"/>
                <w:szCs w:val="19"/>
              </w:rPr>
              <w:t xml:space="preserve">Medium</w:t>
            </w:r>
            <w:r>
              <w:rPr>
                <w:rFonts w:ascii="Arial" w:cs="Arial" w:eastAsia="Arial" w:hAnsi="Arial"/>
                <w:b/>
                <w:bCs/>
                <w:color w:val="2E6DB4"/>
                <w:sz w:val="19"/>
                <w:szCs w:val="19"/>
              </w:rPr>
              <w:t xml:space="preserve">     Branching note: </w:t>
            </w:r>
            <w:r>
              <w:rPr>
                <w:rFonts w:ascii="Arial" w:cs="Arial" w:eastAsia="Arial" w:hAnsi="Arial"/>
                <w:i/>
                <w:iCs/>
                <w:color w:val="334155"/>
                <w:sz w:val="19"/>
                <w:szCs w:val="19"/>
              </w:rPr>
              <w:t xml:space="preserve">High MAU drives availability and CDN requirements.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756A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E8FB"/>
                <w:sz w:val="20"/>
                <w:szCs w:val="20"/>
              </w:rPr>
              <w:t xml:space="preserve">Q12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 you experience or expect significant traffic spikes (e.g., flash sales, seasonal peaks)?</w:t>
            </w:r>
          </w:p>
        </w:tc>
      </w:tr>
      <w:tr>
        <w:tc>
          <w:tcPr>
            <w:tcW w:type="dxa" w:w="9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80"/>
              <w:left w:type="dxa" w:w="24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►  Yes — spikes can be 10× or more of baseline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►  Moderate — occasional peaks of 2–5×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►  No — traffic is relatively steady</w:t>
            </w:r>
          </w:p>
        </w:tc>
      </w:tr>
      <w:tr>
        <w:tc>
          <w:tcPr>
            <w:tcW w:type="dxa" w:w="9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B4"/>
                <w:sz w:val="19"/>
                <w:szCs w:val="19"/>
              </w:rPr>
              <w:t xml:space="preserve">Weight: </w:t>
            </w:r>
            <w:r>
              <w:rPr>
                <w:rFonts w:ascii="Arial" w:cs="Arial" w:eastAsia="Arial" w:hAnsi="Arial"/>
                <w:color w:val="0A74DA"/>
                <w:sz w:val="19"/>
                <w:szCs w:val="19"/>
              </w:rPr>
              <w:t xml:space="preserve">Medium</w:t>
            </w:r>
            <w:r>
              <w:rPr>
                <w:rFonts w:ascii="Arial" w:cs="Arial" w:eastAsia="Arial" w:hAnsi="Arial"/>
                <w:b/>
                <w:bCs/>
                <w:color w:val="2E6DB4"/>
                <w:sz w:val="19"/>
                <w:szCs w:val="19"/>
              </w:rPr>
              <w:t xml:space="preserve">     Branching note: </w:t>
            </w:r>
            <w:r>
              <w:rPr>
                <w:rFonts w:ascii="Arial" w:cs="Arial" w:eastAsia="Arial" w:hAnsi="Arial"/>
                <w:i/>
                <w:iCs/>
                <w:color w:val="334155"/>
                <w:sz w:val="19"/>
                <w:szCs w:val="19"/>
              </w:rPr>
              <w:t xml:space="preserve">Spikes boost rapid-scaling providers (AWS +3, GCP +2).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756A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E8FB"/>
                <w:sz w:val="20"/>
                <w:szCs w:val="20"/>
              </w:rPr>
              <w:t xml:space="preserve">Q13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are your application latency requirements for end users?</w:t>
            </w:r>
          </w:p>
        </w:tc>
      </w:tr>
      <w:tr>
        <w:tc>
          <w:tcPr>
            <w:tcW w:type="dxa" w:w="9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80"/>
              <w:left w:type="dxa" w:w="24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►  Under 50 ms (real-time / gaming / trading)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►  50–200 ms (standard web application)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►  200 ms+ acceptable (batch / async workloads)</w:t>
            </w:r>
          </w:p>
        </w:tc>
      </w:tr>
      <w:tr>
        <w:tc>
          <w:tcPr>
            <w:tcW w:type="dxa" w:w="9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B4"/>
                <w:sz w:val="19"/>
                <w:szCs w:val="19"/>
              </w:rPr>
              <w:t xml:space="preserve">Weight: </w:t>
            </w:r>
            <w:r>
              <w:rPr>
                <w:rFonts w:ascii="Arial" w:cs="Arial" w:eastAsia="Arial" w:hAnsi="Arial"/>
                <w:color w:val="0A74DA"/>
                <w:sz w:val="19"/>
                <w:szCs w:val="19"/>
              </w:rPr>
              <w:t xml:space="preserve">Medium</w:t>
            </w:r>
            <w:r>
              <w:rPr>
                <w:rFonts w:ascii="Arial" w:cs="Arial" w:eastAsia="Arial" w:hAnsi="Arial"/>
                <w:b/>
                <w:bCs/>
                <w:color w:val="2E6DB4"/>
                <w:sz w:val="19"/>
                <w:szCs w:val="19"/>
              </w:rPr>
              <w:t xml:space="preserve">     Branching note: </w:t>
            </w:r>
            <w:r>
              <w:rPr>
                <w:rFonts w:ascii="Arial" w:cs="Arial" w:eastAsia="Arial" w:hAnsi="Arial"/>
                <w:i/>
                <w:iCs/>
                <w:color w:val="334155"/>
                <w:sz w:val="19"/>
                <w:szCs w:val="19"/>
              </w:rPr>
              <w:t xml:space="preserve">Sub-50ms requirements require edge/CDN layer; all major providers support this.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756A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E8FB"/>
                <w:sz w:val="20"/>
                <w:szCs w:val="20"/>
              </w:rPr>
              <w:t xml:space="preserve">Q14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Which regulatory compliance frameworks must your cloud environment satisfy?</w:t>
            </w:r>
          </w:p>
        </w:tc>
      </w:tr>
      <w:tr>
        <w:tc>
          <w:tcPr>
            <w:tcW w:type="dxa" w:w="9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80"/>
              <w:left w:type="dxa" w:w="24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►  HIPAA (health data — USA)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►  GDPR (personal data — EU)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►  PCI-DSS (payment card industry)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►  FedRAMP / GovCloud (US Government)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►  ISO 27001 / SOC 2 (general enterprise)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►  ITAR / EAR (defence / export control)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►  None required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►  Multiple of the above</w:t>
            </w:r>
          </w:p>
        </w:tc>
      </w:tr>
      <w:tr>
        <w:tc>
          <w:tcPr>
            <w:tcW w:type="dxa" w:w="9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B4"/>
                <w:sz w:val="19"/>
                <w:szCs w:val="19"/>
              </w:rPr>
              <w:t xml:space="preserve">Weight: </w:t>
            </w:r>
            <w:r>
              <w:rPr>
                <w:rFonts w:ascii="Arial" w:cs="Arial" w:eastAsia="Arial" w:hAnsi="Arial"/>
                <w:color w:val="0A74DA"/>
                <w:sz w:val="19"/>
                <w:szCs w:val="19"/>
              </w:rPr>
              <w:t xml:space="preserve">HIGH (×3.0)</w:t>
            </w:r>
            <w:r>
              <w:rPr>
                <w:rFonts w:ascii="Arial" w:cs="Arial" w:eastAsia="Arial" w:hAnsi="Arial"/>
                <w:b/>
                <w:bCs/>
                <w:color w:val="2E6DB4"/>
                <w:sz w:val="19"/>
                <w:szCs w:val="19"/>
              </w:rPr>
              <w:t xml:space="preserve">     Branching note: </w:t>
            </w:r>
            <w:r>
              <w:rPr>
                <w:rFonts w:ascii="Arial" w:cs="Arial" w:eastAsia="Arial" w:hAnsi="Arial"/>
                <w:i/>
                <w:iCs/>
                <w:color w:val="334155"/>
                <w:sz w:val="19"/>
                <w:szCs w:val="19"/>
              </w:rPr>
              <w:t xml:space="preserve">Hard-eliminator logic runs on this answer before any scoring.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756A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E8FB"/>
                <w:sz w:val="20"/>
                <w:szCs w:val="20"/>
              </w:rPr>
              <w:t xml:space="preserve">Q15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Where must your data physically reside?</w:t>
            </w:r>
          </w:p>
        </w:tc>
      </w:tr>
      <w:tr>
        <w:tc>
          <w:tcPr>
            <w:tcW w:type="dxa" w:w="9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80"/>
              <w:left w:type="dxa" w:w="24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►  Specific country (e.g., must stay within India / EU / Australia)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►  Specific continent only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►  No restriction — any global region is acceptable</w:t>
            </w:r>
          </w:p>
        </w:tc>
      </w:tr>
      <w:tr>
        <w:tc>
          <w:tcPr>
            <w:tcW w:type="dxa" w:w="9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B4"/>
                <w:sz w:val="19"/>
                <w:szCs w:val="19"/>
              </w:rPr>
              <w:t xml:space="preserve">Weight: </w:t>
            </w:r>
            <w:r>
              <w:rPr>
                <w:rFonts w:ascii="Arial" w:cs="Arial" w:eastAsia="Arial" w:hAnsi="Arial"/>
                <w:color w:val="0A74DA"/>
                <w:sz w:val="19"/>
                <w:szCs w:val="19"/>
              </w:rPr>
              <w:t xml:space="preserve">HIGH (×3.0)</w:t>
            </w:r>
            <w:r>
              <w:rPr>
                <w:rFonts w:ascii="Arial" w:cs="Arial" w:eastAsia="Arial" w:hAnsi="Arial"/>
                <w:b/>
                <w:bCs/>
                <w:color w:val="2E6DB4"/>
                <w:sz w:val="19"/>
                <w:szCs w:val="19"/>
              </w:rPr>
              <w:t xml:space="preserve">     Branching note: </w:t>
            </w:r>
            <w:r>
              <w:rPr>
                <w:rFonts w:ascii="Arial" w:cs="Arial" w:eastAsia="Arial" w:hAnsi="Arial"/>
                <w:i/>
                <w:iCs/>
                <w:color w:val="334155"/>
                <w:sz w:val="19"/>
                <w:szCs w:val="19"/>
              </w:rPr>
              <w:t xml:space="preserve">Country-specific residency eliminates providers without a local data centre.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756A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E8FB"/>
                <w:sz w:val="20"/>
                <w:szCs w:val="20"/>
              </w:rPr>
              <w:t xml:space="preserve">Q16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sensitive is the data you will store or process?</w:t>
            </w:r>
          </w:p>
        </w:tc>
      </w:tr>
      <w:tr>
        <w:tc>
          <w:tcPr>
            <w:tcW w:type="dxa" w:w="9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80"/>
              <w:left w:type="dxa" w:w="24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►  Public / non-sensitive only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►  Internal business data (mildly sensitive)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►  Confidential customer PII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►  Highly classified (financial, healthcare, government records)</w:t>
            </w:r>
          </w:p>
        </w:tc>
      </w:tr>
      <w:tr>
        <w:tc>
          <w:tcPr>
            <w:tcW w:type="dxa" w:w="9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B4"/>
                <w:sz w:val="19"/>
                <w:szCs w:val="19"/>
              </w:rPr>
              <w:t xml:space="preserve">Weight: </w:t>
            </w:r>
            <w:r>
              <w:rPr>
                <w:rFonts w:ascii="Arial" w:cs="Arial" w:eastAsia="Arial" w:hAnsi="Arial"/>
                <w:color w:val="0A74DA"/>
                <w:sz w:val="19"/>
                <w:szCs w:val="19"/>
              </w:rPr>
              <w:t xml:space="preserve">High</w:t>
            </w:r>
            <w:r>
              <w:rPr>
                <w:rFonts w:ascii="Arial" w:cs="Arial" w:eastAsia="Arial" w:hAnsi="Arial"/>
                <w:b/>
                <w:bCs/>
                <w:color w:val="2E6DB4"/>
                <w:sz w:val="19"/>
                <w:szCs w:val="19"/>
              </w:rPr>
              <w:t xml:space="preserve">     Branching note: </w:t>
            </w:r>
            <w:r>
              <w:rPr>
                <w:rFonts w:ascii="Arial" w:cs="Arial" w:eastAsia="Arial" w:hAnsi="Arial"/>
                <w:i/>
                <w:iCs/>
                <w:color w:val="334155"/>
                <w:sz w:val="19"/>
                <w:szCs w:val="19"/>
              </w:rPr>
              <w:t xml:space="preserve">PII and classified data boost encryption scoring weight.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756A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E8FB"/>
                <w:sz w:val="20"/>
                <w:szCs w:val="20"/>
              </w:rPr>
              <w:t xml:space="preserve">Q17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 you require a specific disaster recovery strategy?</w:t>
            </w:r>
          </w:p>
        </w:tc>
      </w:tr>
      <w:tr>
        <w:tc>
          <w:tcPr>
            <w:tcW w:type="dxa" w:w="9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80"/>
              <w:left w:type="dxa" w:w="24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►  Basic backup and restore (hours of recovery time acceptable)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►  Warm standby (minutes to recovery)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►  Active-Active multi-region (near-zero RTO)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►  No formal DR plan yet</w:t>
            </w:r>
          </w:p>
        </w:tc>
      </w:tr>
      <w:tr>
        <w:tc>
          <w:tcPr>
            <w:tcW w:type="dxa" w:w="9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B4"/>
                <w:sz w:val="19"/>
                <w:szCs w:val="19"/>
              </w:rPr>
              <w:t xml:space="preserve">Weight: </w:t>
            </w:r>
            <w:r>
              <w:rPr>
                <w:rFonts w:ascii="Arial" w:cs="Arial" w:eastAsia="Arial" w:hAnsi="Arial"/>
                <w:color w:val="0A74DA"/>
                <w:sz w:val="19"/>
                <w:szCs w:val="19"/>
              </w:rPr>
              <w:t xml:space="preserve">High</w:t>
            </w:r>
            <w:r>
              <w:rPr>
                <w:rFonts w:ascii="Arial" w:cs="Arial" w:eastAsia="Arial" w:hAnsi="Arial"/>
                <w:b/>
                <w:bCs/>
                <w:color w:val="2E6DB4"/>
                <w:sz w:val="19"/>
                <w:szCs w:val="19"/>
              </w:rPr>
              <w:t xml:space="preserve">     Branching note: </w:t>
            </w:r>
            <w:r>
              <w:rPr>
                <w:rFonts w:ascii="Arial" w:cs="Arial" w:eastAsia="Arial" w:hAnsi="Arial"/>
                <w:i/>
                <w:iCs/>
                <w:color w:val="334155"/>
                <w:sz w:val="19"/>
                <w:szCs w:val="19"/>
              </w:rPr>
              <w:t xml:space="preserve">Active-Active DR triggers the multi-region hard-eliminator filter.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756A9"/>
          <w:sz w:val="26"/>
          <w:szCs w:val="26"/>
        </w:rPr>
        <w:t xml:space="preserve">Stage D — Development Ecosystem  (Q18–Q21)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756A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E8FB"/>
                <w:sz w:val="20"/>
                <w:szCs w:val="20"/>
              </w:rPr>
              <w:t xml:space="preserve">Q18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is your team's primary programming language or technology stack?</w:t>
            </w:r>
          </w:p>
        </w:tc>
      </w:tr>
      <w:tr>
        <w:tc>
          <w:tcPr>
            <w:tcW w:type="dxa" w:w="9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80"/>
              <w:left w:type="dxa" w:w="24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►  .NET / C# / Microsoft ecosystem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►  Java / JVM (Spring, Kotlin)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►  Python (data science, ML, backend)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►  Node.js / JavaScript / TypeScript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►  Go / Rust / C++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►  Mixed / polyglot</w:t>
            </w:r>
          </w:p>
        </w:tc>
      </w:tr>
      <w:tr>
        <w:tc>
          <w:tcPr>
            <w:tcW w:type="dxa" w:w="9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B4"/>
                <w:sz w:val="19"/>
                <w:szCs w:val="19"/>
              </w:rPr>
              <w:t xml:space="preserve">Weight: </w:t>
            </w:r>
            <w:r>
              <w:rPr>
                <w:rFonts w:ascii="Arial" w:cs="Arial" w:eastAsia="Arial" w:hAnsi="Arial"/>
                <w:color w:val="0A74DA"/>
                <w:sz w:val="19"/>
                <w:szCs w:val="19"/>
              </w:rPr>
              <w:t xml:space="preserve">Medium</w:t>
            </w:r>
            <w:r>
              <w:rPr>
                <w:rFonts w:ascii="Arial" w:cs="Arial" w:eastAsia="Arial" w:hAnsi="Arial"/>
                <w:b/>
                <w:bCs/>
                <w:color w:val="2E6DB4"/>
                <w:sz w:val="19"/>
                <w:szCs w:val="19"/>
              </w:rPr>
              <w:t xml:space="preserve">     Branching note: </w:t>
            </w:r>
            <w:r>
              <w:rPr>
                <w:rFonts w:ascii="Arial" w:cs="Arial" w:eastAsia="Arial" w:hAnsi="Arial"/>
                <w:i/>
                <w:iCs/>
                <w:color w:val="334155"/>
                <w:sz w:val="19"/>
                <w:szCs w:val="19"/>
              </w:rPr>
              <w:t xml:space="preserve">.NET strongly boosts Azure; Python boosts GCP; mixed is neutral.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756A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E8FB"/>
                <w:sz w:val="20"/>
                <w:szCs w:val="20"/>
              </w:rPr>
              <w:t xml:space="preserve">Q19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CI/CD toolchain does your team use?</w:t>
            </w:r>
          </w:p>
        </w:tc>
      </w:tr>
      <w:tr>
        <w:tc>
          <w:tcPr>
            <w:tcW w:type="dxa" w:w="9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80"/>
              <w:left w:type="dxa" w:w="24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►  Azure DevOps / GitHub Actions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►  GitLab CI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►  Jenkins / CircleCI / other self-hosted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►  No CI/CD pipeline yet</w:t>
            </w:r>
          </w:p>
        </w:tc>
      </w:tr>
      <w:tr>
        <w:tc>
          <w:tcPr>
            <w:tcW w:type="dxa" w:w="9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B4"/>
                <w:sz w:val="19"/>
                <w:szCs w:val="19"/>
              </w:rPr>
              <w:t xml:space="preserve">Weight: </w:t>
            </w:r>
            <w:r>
              <w:rPr>
                <w:rFonts w:ascii="Arial" w:cs="Arial" w:eastAsia="Arial" w:hAnsi="Arial"/>
                <w:color w:val="0A74DA"/>
                <w:sz w:val="19"/>
                <w:szCs w:val="19"/>
              </w:rPr>
              <w:t xml:space="preserve">Low</w:t>
            </w:r>
            <w:r>
              <w:rPr>
                <w:rFonts w:ascii="Arial" w:cs="Arial" w:eastAsia="Arial" w:hAnsi="Arial"/>
                <w:b/>
                <w:bCs/>
                <w:color w:val="2E6DB4"/>
                <w:sz w:val="19"/>
                <w:szCs w:val="19"/>
              </w:rPr>
              <w:t xml:space="preserve">     Branching note: </w:t>
            </w:r>
            <w:r>
              <w:rPr>
                <w:rFonts w:ascii="Arial" w:cs="Arial" w:eastAsia="Arial" w:hAnsi="Arial"/>
                <w:i/>
                <w:iCs/>
                <w:color w:val="334155"/>
                <w:sz w:val="19"/>
                <w:szCs w:val="19"/>
              </w:rPr>
              <w:t xml:space="preserve">Azure DevOps gives slight Azure preference; otherwise low impact.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756A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E8FB"/>
                <w:sz w:val="20"/>
                <w:szCs w:val="20"/>
              </w:rPr>
              <w:t xml:space="preserve">Q20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 you currently use any vendor-specific on-premise products you wish to migrate?</w:t>
            </w:r>
          </w:p>
        </w:tc>
      </w:tr>
      <w:tr>
        <w:tc>
          <w:tcPr>
            <w:tcW w:type="dxa" w:w="9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80"/>
              <w:left w:type="dxa" w:w="24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►  Microsoft (Active Directory, SQL Server, Exchange)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►  Oracle (Oracle DB, Oracle ERP / Fusion)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►  IBM (Db2, WebSphere, IBM MQ, AIX)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►  VMware / Dell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►  None — open-source or neutral stack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►  Multiple vendors</w:t>
            </w:r>
          </w:p>
        </w:tc>
      </w:tr>
      <w:tr>
        <w:tc>
          <w:tcPr>
            <w:tcW w:type="dxa" w:w="9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B4"/>
                <w:sz w:val="19"/>
                <w:szCs w:val="19"/>
              </w:rPr>
              <w:t xml:space="preserve">Weight: </w:t>
            </w:r>
            <w:r>
              <w:rPr>
                <w:rFonts w:ascii="Arial" w:cs="Arial" w:eastAsia="Arial" w:hAnsi="Arial"/>
                <w:color w:val="0A74DA"/>
                <w:sz w:val="19"/>
                <w:szCs w:val="19"/>
              </w:rPr>
              <w:t xml:space="preserve">HIGH (×2.5)</w:t>
            </w:r>
            <w:r>
              <w:rPr>
                <w:rFonts w:ascii="Arial" w:cs="Arial" w:eastAsia="Arial" w:hAnsi="Arial"/>
                <w:b/>
                <w:bCs/>
                <w:color w:val="2E6DB4"/>
                <w:sz w:val="19"/>
                <w:szCs w:val="19"/>
              </w:rPr>
              <w:t xml:space="preserve">     Branching note: </w:t>
            </w:r>
            <w:r>
              <w:rPr>
                <w:rFonts w:ascii="Arial" w:cs="Arial" w:eastAsia="Arial" w:hAnsi="Arial"/>
                <w:i/>
                <w:iCs/>
                <w:color w:val="334155"/>
                <w:sz w:val="19"/>
                <w:szCs w:val="19"/>
              </w:rPr>
              <w:t xml:space="preserve">Existing vendor products are the single strongest predictor of provider fit.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756A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E8FB"/>
                <w:sz w:val="20"/>
                <w:szCs w:val="20"/>
              </w:rPr>
              <w:t xml:space="preserve">Q21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important are managed AI and machine learning services to your product roadmap?</w:t>
            </w:r>
          </w:p>
        </w:tc>
      </w:tr>
      <w:tr>
        <w:tc>
          <w:tcPr>
            <w:tcW w:type="dxa" w:w="9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80"/>
              <w:left w:type="dxa" w:w="24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►  Critical — AI is core to our product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►  Important — we plan AI features within 12 months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►  Nice to have — possible future consideration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►  Not relevant</w:t>
            </w:r>
          </w:p>
        </w:tc>
      </w:tr>
      <w:tr>
        <w:tc>
          <w:tcPr>
            <w:tcW w:type="dxa" w:w="9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B4"/>
                <w:sz w:val="19"/>
                <w:szCs w:val="19"/>
              </w:rPr>
              <w:t xml:space="preserve">Weight: </w:t>
            </w:r>
            <w:r>
              <w:rPr>
                <w:rFonts w:ascii="Arial" w:cs="Arial" w:eastAsia="Arial" w:hAnsi="Arial"/>
                <w:color w:val="0A74DA"/>
                <w:sz w:val="19"/>
                <w:szCs w:val="19"/>
              </w:rPr>
              <w:t xml:space="preserve">Medium</w:t>
            </w:r>
            <w:r>
              <w:rPr>
                <w:rFonts w:ascii="Arial" w:cs="Arial" w:eastAsia="Arial" w:hAnsi="Arial"/>
                <w:b/>
                <w:bCs/>
                <w:color w:val="2E6DB4"/>
                <w:sz w:val="19"/>
                <w:szCs w:val="19"/>
              </w:rPr>
              <w:t xml:space="preserve">     Branching note: </w:t>
            </w:r>
            <w:r>
              <w:rPr>
                <w:rFonts w:ascii="Arial" w:cs="Arial" w:eastAsia="Arial" w:hAnsi="Arial"/>
                <w:i/>
                <w:iCs/>
                <w:color w:val="334155"/>
                <w:sz w:val="19"/>
                <w:szCs w:val="19"/>
              </w:rPr>
              <w:t xml:space="preserve">Critical/Important answers boost GCP (Vertex AI, TPUs) and AWS (SageMaker).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756A9"/>
          <w:sz w:val="26"/>
          <w:szCs w:val="26"/>
        </w:rPr>
        <w:t xml:space="preserve">Stage E — Budget, Operations &amp; Timeline  (Q22–Q25)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756A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E8FB"/>
                <w:sz w:val="20"/>
                <w:szCs w:val="20"/>
              </w:rPr>
              <w:t xml:space="preserve">Q22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is your estimated monthly cloud infrastructure budget?</w:t>
            </w:r>
          </w:p>
        </w:tc>
      </w:tr>
      <w:tr>
        <w:tc>
          <w:tcPr>
            <w:tcW w:type="dxa" w:w="9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80"/>
              <w:left w:type="dxa" w:w="24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►  Under $500 / month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►  $500 – $5,000 / month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►  $5,000 – $50,000 / month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►  $50,000 – $500,000 / month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►  Over $500,000 / month</w:t>
            </w:r>
          </w:p>
        </w:tc>
      </w:tr>
      <w:tr>
        <w:tc>
          <w:tcPr>
            <w:tcW w:type="dxa" w:w="9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B4"/>
                <w:sz w:val="19"/>
                <w:szCs w:val="19"/>
              </w:rPr>
              <w:t xml:space="preserve">Weight: </w:t>
            </w:r>
            <w:r>
              <w:rPr>
                <w:rFonts w:ascii="Arial" w:cs="Arial" w:eastAsia="Arial" w:hAnsi="Arial"/>
                <w:color w:val="0A74DA"/>
                <w:sz w:val="19"/>
                <w:szCs w:val="19"/>
              </w:rPr>
              <w:t xml:space="preserve">High</w:t>
            </w:r>
            <w:r>
              <w:rPr>
                <w:rFonts w:ascii="Arial" w:cs="Arial" w:eastAsia="Arial" w:hAnsi="Arial"/>
                <w:b/>
                <w:bCs/>
                <w:color w:val="2E6DB4"/>
                <w:sz w:val="19"/>
                <w:szCs w:val="19"/>
              </w:rPr>
              <w:t xml:space="preserve">     Branching note: </w:t>
            </w:r>
            <w:r>
              <w:rPr>
                <w:rFonts w:ascii="Arial" w:cs="Arial" w:eastAsia="Arial" w:hAnsi="Arial"/>
                <w:i/>
                <w:iCs/>
                <w:color w:val="334155"/>
                <w:sz w:val="19"/>
                <w:szCs w:val="19"/>
              </w:rPr>
              <w:t xml:space="preserve">Budget level determines discount eligibility and viable support tiers.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756A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E8FB"/>
                <w:sz w:val="20"/>
                <w:szCs w:val="20"/>
              </w:rPr>
              <w:t xml:space="preserve">Q23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 you need to maintain connectivity to on-premise systems after migration?</w:t>
            </w:r>
          </w:p>
        </w:tc>
      </w:tr>
      <w:tr>
        <w:tc>
          <w:tcPr>
            <w:tcW w:type="dxa" w:w="9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80"/>
              <w:left w:type="dxa" w:w="24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►  Yes — ongoing hybrid connectivity (VPN or dedicated connection)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►  Yes — temporary bridge during migration only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►  No — full cloud migration, all systems moving</w:t>
            </w:r>
          </w:p>
        </w:tc>
      </w:tr>
      <w:tr>
        <w:tc>
          <w:tcPr>
            <w:tcW w:type="dxa" w:w="9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B4"/>
                <w:sz w:val="19"/>
                <w:szCs w:val="19"/>
              </w:rPr>
              <w:t xml:space="preserve">Weight: </w:t>
            </w:r>
            <w:r>
              <w:rPr>
                <w:rFonts w:ascii="Arial" w:cs="Arial" w:eastAsia="Arial" w:hAnsi="Arial"/>
                <w:color w:val="0A74DA"/>
                <w:sz w:val="19"/>
                <w:szCs w:val="19"/>
              </w:rPr>
              <w:t xml:space="preserve">HIGH (×2.5)</w:t>
            </w:r>
            <w:r>
              <w:rPr>
                <w:rFonts w:ascii="Arial" w:cs="Arial" w:eastAsia="Arial" w:hAnsi="Arial"/>
                <w:b/>
                <w:bCs/>
                <w:color w:val="2E6DB4"/>
                <w:sz w:val="19"/>
                <w:szCs w:val="19"/>
              </w:rPr>
              <w:t xml:space="preserve">     Branching note: </w:t>
            </w:r>
            <w:r>
              <w:rPr>
                <w:rFonts w:ascii="Arial" w:cs="Arial" w:eastAsia="Arial" w:hAnsi="Arial"/>
                <w:i/>
                <w:iCs/>
                <w:color w:val="334155"/>
                <w:sz w:val="19"/>
                <w:szCs w:val="19"/>
              </w:rPr>
              <w:t xml:space="preserve">Hybrid requirement significantly boosts Azure (Azure Arc) and AWS (Outposts).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756A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E8FB"/>
                <w:sz w:val="20"/>
                <w:szCs w:val="20"/>
              </w:rPr>
              <w:t xml:space="preserve">Q24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level of cloud support do you require?</w:t>
            </w:r>
          </w:p>
        </w:tc>
      </w:tr>
      <w:tr>
        <w:tc>
          <w:tcPr>
            <w:tcW w:type="dxa" w:w="9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80"/>
              <w:left w:type="dxa" w:w="24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►  Community only (forums, documentation)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►  Business support (email / chat response within hours)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►  Enterprise support (24/7 phone, dedicated TAM)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►  Mission-critical (sub-15-minute response SLA)</w:t>
            </w:r>
          </w:p>
        </w:tc>
      </w:tr>
      <w:tr>
        <w:tc>
          <w:tcPr>
            <w:tcW w:type="dxa" w:w="9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B4"/>
                <w:sz w:val="19"/>
                <w:szCs w:val="19"/>
              </w:rPr>
              <w:t xml:space="preserve">Weight: </w:t>
            </w:r>
            <w:r>
              <w:rPr>
                <w:rFonts w:ascii="Arial" w:cs="Arial" w:eastAsia="Arial" w:hAnsi="Arial"/>
                <w:color w:val="0A74DA"/>
                <w:sz w:val="19"/>
                <w:szCs w:val="19"/>
              </w:rPr>
              <w:t xml:space="preserve">Medium</w:t>
            </w:r>
            <w:r>
              <w:rPr>
                <w:rFonts w:ascii="Arial" w:cs="Arial" w:eastAsia="Arial" w:hAnsi="Arial"/>
                <w:b/>
                <w:bCs/>
                <w:color w:val="2E6DB4"/>
                <w:sz w:val="19"/>
                <w:szCs w:val="19"/>
              </w:rPr>
              <w:t xml:space="preserve">     Branching note: </w:t>
            </w:r>
            <w:r>
              <w:rPr>
                <w:rFonts w:ascii="Arial" w:cs="Arial" w:eastAsia="Arial" w:hAnsi="Arial"/>
                <w:i/>
                <w:iCs/>
                <w:color w:val="334155"/>
                <w:sz w:val="19"/>
                <w:szCs w:val="19"/>
              </w:rPr>
              <w:t xml:space="preserve">Mission-critical support boosts AWS and Azure which have the most mature enterprise support programs.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756A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E8FB"/>
                <w:sz w:val="20"/>
                <w:szCs w:val="20"/>
              </w:rPr>
              <w:t xml:space="preserve">Q25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is your target migration timeline?</w:t>
            </w:r>
          </w:p>
        </w:tc>
      </w:tr>
      <w:tr>
        <w:tc>
          <w:tcPr>
            <w:tcW w:type="dxa" w:w="9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80"/>
              <w:left w:type="dxa" w:w="24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►  Immediate — within 1–3 months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►  Short-term — 3–6 months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►  Medium-term — 6–12 months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►  Long-term — 12–24 months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►  Not yet defined</w:t>
            </w:r>
          </w:p>
        </w:tc>
      </w:tr>
      <w:tr>
        <w:tc>
          <w:tcPr>
            <w:tcW w:type="dxa" w:w="9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B4"/>
                <w:sz w:val="19"/>
                <w:szCs w:val="19"/>
              </w:rPr>
              <w:t xml:space="preserve">Weight: </w:t>
            </w:r>
            <w:r>
              <w:rPr>
                <w:rFonts w:ascii="Arial" w:cs="Arial" w:eastAsia="Arial" w:hAnsi="Arial"/>
                <w:color w:val="0A74DA"/>
                <w:sz w:val="19"/>
                <w:szCs w:val="19"/>
              </w:rPr>
              <w:t xml:space="preserve">Medium</w:t>
            </w:r>
            <w:r>
              <w:rPr>
                <w:rFonts w:ascii="Arial" w:cs="Arial" w:eastAsia="Arial" w:hAnsi="Arial"/>
                <w:b/>
                <w:bCs/>
                <w:color w:val="2E6DB4"/>
                <w:sz w:val="19"/>
                <w:szCs w:val="19"/>
              </w:rPr>
              <w:t xml:space="preserve">     Branching note: </w:t>
            </w:r>
            <w:r>
              <w:rPr>
                <w:rFonts w:ascii="Arial" w:cs="Arial" w:eastAsia="Arial" w:hAnsi="Arial"/>
                <w:i/>
                <w:iCs/>
                <w:color w:val="334155"/>
                <w:sz w:val="19"/>
                <w:szCs w:val="19"/>
              </w:rPr>
              <w:t xml:space="preserve">Aggressive timelines favour providers with superior migration tooling and free migration credits.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5C" w:val="clear"/>
            <w:tcMar>
              <w:top w:type="dxa" w:w="140"/>
              <w:left w:type="dxa" w:w="240"/>
              <w:bottom w:type="dxa" w:w="1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74DA"/>
                <w:sz w:val="28"/>
                <w:szCs w:val="28"/>
              </w:rPr>
              <w:t xml:space="preserve">5.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User Experience Flow Design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UX follows a 5-screen wizard. The single-question-per-screen format from the ChatGPT draft is adopted in full. Real-time scoring previews appear after Stage C (compliance questions) to build engagement.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E7C7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0EEEE"/>
                <w:sz w:val="22"/>
                <w:szCs w:val="22"/>
              </w:rPr>
              <w:t xml:space="preserve">Screen 1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Welcome / Introduction</w:t>
            </w:r>
          </w:p>
        </w:tc>
      </w:tr>
      <w:tr>
        <w:tc>
          <w:tcPr>
            <w:tcW w:type="dxa" w:w="9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Headline:  Find the Perfect Cloud Provider for Your Infrastructure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Sub-copy:  Answer 12–20 questions tailored to your setup. Takes about 5–8 minutes.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CTA button:  Start Assessment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Trust signal:  'Used by 10,000+ teams planning their cloud migration'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E7C7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0EEEE"/>
                <w:sz w:val="22"/>
                <w:szCs w:val="22"/>
              </w:rPr>
              <w:t xml:space="preserve">Screen 2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Staged Progress Indicator</w:t>
            </w:r>
          </w:p>
        </w:tc>
      </w:tr>
      <w:tr>
        <w:tc>
          <w:tcPr>
            <w:tcW w:type="dxa" w:w="9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Persistent progress bar at top: Stage 2 of 5 — Application Architecture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Question counter: Question 6 of ~18 (updates dynamically as branching skips questions)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Back button available on every screen — answers are preserved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Auto-save every question so users can resume after closing the browser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E7C7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0EEEE"/>
                <w:sz w:val="22"/>
                <w:szCs w:val="22"/>
              </w:rPr>
              <w:t xml:space="preserve">Screen 3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Question Interface — Visual Answer Cards</w:t>
            </w:r>
          </w:p>
        </w:tc>
      </w:tr>
      <w:tr>
        <w:tc>
          <w:tcPr>
            <w:tcW w:type="dxa" w:w="9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One question displayed per screen in large, readable typography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Answers presented as selectable cards with icon + label + one-line description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Example — Workload Type cards: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[Web Applications]   Host websites, APIs, and customer-facing services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[AI / ML]            Train and deploy machine learning models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[Data Analytics]     Large-scale data pipelines and reporting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[Enterprise Apps]    ERP, CRM, and internal business applications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Multi-select enabled where noted (e.g., compliance frameworks, workload types)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Tooltip '?' icon on every technical term links to a plain-English explanation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E7C7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0EEEE"/>
                <w:sz w:val="22"/>
                <w:szCs w:val="22"/>
              </w:rPr>
              <w:t xml:space="preserve">Screen 4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Real-Time Recommendation Preview (After Stage C)</w:t>
            </w:r>
          </w:p>
        </w:tc>
      </w:tr>
      <w:tr>
        <w:tc>
          <w:tcPr>
            <w:tcW w:type="dxa" w:w="9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Shown after compliance questions are answered — when scores are most differentiated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Live animated bar chart showing running scores: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AWS   ████████████████  54%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GCP   ████████████      41%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Azure ████████          35%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Subtitle: 'Complete the remaining questions to refine your recommendation'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Purpose: increases completion motivation by making value visible early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E7C7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0EEEE"/>
                <w:sz w:val="22"/>
                <w:szCs w:val="22"/>
              </w:rPr>
              <w:t xml:space="preserve">Screen 5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Final Recommendation Dashboard</w:t>
            </w:r>
          </w:p>
        </w:tc>
      </w:tr>
      <w:tr>
        <w:tc>
          <w:tcPr>
            <w:tcW w:type="dxa" w:w="9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Recommended Provider badge with provider logo and confidence score (e.g., 78 / 100)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Why [Provider] fits your needs — 3 bullet points generated from answer evidence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Trade-off callout — 1–2 honest considerations before committing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Alternative Provider — second-ranked provider with one-line differentiation note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Migration Complexity Estimate — Low / Medium / High with time range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Next Steps panel — links to architecture generator, migration plan, cost estimator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Download PDF Summary button — exports answers + recommendation + rationale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756A9"/>
          <w:sz w:val="26"/>
          <w:szCs w:val="26"/>
        </w:rPr>
        <w:t xml:space="preserve">5.1  Smart Branching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machine learning workload selected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Skip Q21 (AI/ML services importance)</w:t>
            </w:r>
          </w:p>
        </w:tc>
      </w:tr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Oracle DB selected in Q8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Skip other DB scoring; apply Oracle Cloud hard-boost</w:t>
            </w:r>
          </w:p>
        </w:tc>
      </w:tr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compliance framework selected in Q14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Skip Q16 (data sensitivity) for non-regulated users</w:t>
            </w:r>
          </w:p>
        </w:tc>
      </w:tr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DR requirement in Q17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Skip multi-region architecture questions</w:t>
            </w:r>
          </w:p>
        </w:tc>
      </w:tr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cloud migration in Q23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Skip hybrid connectivity questions</w:t>
            </w:r>
          </w:p>
        </w:tc>
      </w:tr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cloud experience in expertise question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Surface simplified provider summaries on result screen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5C" w:val="clear"/>
            <w:tcMar>
              <w:top w:type="dxa" w:w="140"/>
              <w:left w:type="dxa" w:w="240"/>
              <w:bottom w:type="dxa" w:w="1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74DA"/>
                <w:sz w:val="28"/>
                <w:szCs w:val="28"/>
              </w:rPr>
              <w:t xml:space="preserve">6.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Recommendation Explanation Logic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Every recommendation must be explainable. The engine generates three components to build user trust and transparency.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756A9"/>
          <w:sz w:val="26"/>
          <w:szCs w:val="26"/>
        </w:rPr>
        <w:t xml:space="preserve">6.1  Evidence Block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Identifies the 3–4 user answers that most influenced the recommendation. Example for an AWS result: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Your workload is primarily web applications and APIs  →  AWS leads this category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You selected an open-source / Linux stack  →  AWS is the strongest fit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You require rapid auto-scaling  →  AWS Auto Scaling is the most mature option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Your monthly budget is $5,000–$50,000  →  AWS Reserved Instances offer strong savings at this tier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756A9"/>
          <w:sz w:val="26"/>
          <w:szCs w:val="26"/>
        </w:rPr>
        <w:t xml:space="preserve">6.2  Comparison Block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Shows where the recommended provider leads vs. alternatives on the user's specific priorities: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Priority</w:t>
            </w:r>
          </w:p>
        </w:tc>
        <w:tc>
          <w:tcPr>
            <w:tcW w:type="dxa" w:w="20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AWS</w:t>
            </w:r>
          </w:p>
        </w:tc>
        <w:tc>
          <w:tcPr>
            <w:tcW w:type="dxa" w:w="20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GCP</w:t>
            </w:r>
          </w:p>
        </w:tc>
        <w:tc>
          <w:tcPr>
            <w:tcW w:type="dxa" w:w="20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Azure</w:t>
            </w:r>
          </w:p>
        </w:tc>
      </w:tr>
      <w:tr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20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20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20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★★★★☆</w:t>
            </w:r>
          </w:p>
        </w:tc>
      </w:tr>
      <w:tr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Developer Ecosystem</w:t>
            </w:r>
          </w:p>
        </w:tc>
        <w:tc>
          <w:tcPr>
            <w:tcW w:type="dxa" w:w="20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20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20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★★★★☆</w:t>
            </w:r>
          </w:p>
        </w:tc>
      </w:tr>
      <w:tr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Migration Tooling</w:t>
            </w:r>
          </w:p>
        </w:tc>
        <w:tc>
          <w:tcPr>
            <w:tcW w:type="dxa" w:w="20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20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★★★☆☆</w:t>
            </w:r>
          </w:p>
        </w:tc>
        <w:tc>
          <w:tcPr>
            <w:tcW w:type="dxa" w:w="20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Cost Efficiency</w:t>
            </w:r>
          </w:p>
        </w:tc>
        <w:tc>
          <w:tcPr>
            <w:tcW w:type="dxa" w:w="20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★★★☆☆</w:t>
            </w:r>
          </w:p>
        </w:tc>
        <w:tc>
          <w:tcPr>
            <w:tcW w:type="dxa" w:w="20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20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★★★☆☆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756A9"/>
          <w:sz w:val="26"/>
          <w:szCs w:val="26"/>
        </w:rPr>
        <w:t xml:space="preserve">6.3  Transparency &amp; Trade-offs Block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Honest caveats are displayed below the recommendation to prevent blind commitment. Example for AWS: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AWS pricing is more complex than GCP — budget for a billing review in your first 90 days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Egress fees can be significant if you pull large datasets back out of S3 regularly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756A9"/>
          <w:sz w:val="26"/>
          <w:szCs w:val="26"/>
        </w:rPr>
        <w:t xml:space="preserve">6.4  Migration Complexity Estimate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7680"/>
      </w:tblGrid>
      <w:tr>
        <w:tc>
          <w:tcPr>
            <w:tcW w:type="dxa" w:w="1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756A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calculated</w:t>
            </w:r>
          </w:p>
        </w:tc>
        <w:tc>
          <w:tcPr>
            <w:tcW w:type="dxa" w:w="7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Complexity = f(data volume, hybrid requirement, compliance workload, existing vendor lock-in, team cloud experience)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37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37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Timeline</w:t>
            </w:r>
          </w:p>
        </w:tc>
      </w:tr>
      <w:tr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37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&lt; 1 TB data, no compliance, stateless apps, experienced team</w:t>
            </w:r>
          </w:p>
        </w:tc>
        <w:tc>
          <w:tcPr>
            <w:tcW w:type="dxa" w:w="37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1–2 weeks</w:t>
            </w:r>
          </w:p>
        </w:tc>
      </w:tr>
      <w:tr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EF3C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37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EF3C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1–100 TB, basic compliance, some stateful services, mixed team</w:t>
            </w:r>
          </w:p>
        </w:tc>
        <w:tc>
          <w:tcPr>
            <w:tcW w:type="dxa" w:w="37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EF3C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2–8 weeks</w:t>
            </w:r>
          </w:p>
        </w:tc>
      </w:tr>
      <w:tr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8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37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8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&gt; 100 TB, regulated industry, hybrid required, legacy systems</w:t>
            </w:r>
          </w:p>
        </w:tc>
        <w:tc>
          <w:tcPr>
            <w:tcW w:type="dxa" w:w="37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8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2–6 months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5C" w:val="clear"/>
            <w:tcMar>
              <w:top w:type="dxa" w:w="140"/>
              <w:left w:type="dxa" w:w="240"/>
              <w:bottom w:type="dxa" w:w="1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74DA"/>
                <w:sz w:val="28"/>
                <w:szCs w:val="28"/>
              </w:rPr>
              <w:t xml:space="preserve">7.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Technical Implementation Requirements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756A9"/>
          <w:sz w:val="26"/>
          <w:szCs w:val="26"/>
        </w:rPr>
        <w:t xml:space="preserve">7.1  Frontend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Multi-step wizard with persistent progress bar (Stage X of 5, Question Y of ~N)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Answer type per question: single-select card, multi-select card, or slider as specified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Conditional branching evaluated client-side for instant response — no round-trip to server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Inline tooltip '?' on every technical term; tooltip text stored in a JSON config file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Auto-save to sessionStorage every question answer; full restore on page refresh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Mobile-responsive: minimum 375px viewport, card layout stacks vertically on mobile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Animated score preview chart (horizontal bar) updates after each Stage C question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756A9"/>
          <w:sz w:val="26"/>
          <w:szCs w:val="26"/>
        </w:rPr>
        <w:t xml:space="preserve">7.2  Scoring Engine (Backend)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Stateless pure function: input = JSON answer payload, output = ranked provider list with scores and rationale strings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Scoring deltas and category weights stored in YAML config — tunable without code deploy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Hard-eliminator rules run first, before weighted scoring, as a filter pass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Rationale strings generated from a deterministic template engine (not LLM) for consistency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Answer payload logged (anonymized, no PII) to data warehouse for future model refinement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P95 response time target: &lt; 200ms for scoring computation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756A9"/>
          <w:sz w:val="26"/>
          <w:szCs w:val="26"/>
        </w:rPr>
        <w:t xml:space="preserve">7.3  Answer Payload Schema (JSON)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 "sessionId": "uuid-v4",</w:t>
            </w:r>
          </w:p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"completedAt": "2026-03-08T10:30:00Z",</w:t>
            </w:r>
          </w:p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"answers": {</w:t>
            </w:r>
          </w:p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"q1_data_volume":        "1tb_to_10tb",</w:t>
            </w:r>
          </w:p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"q5_multiregion":        "active_passive",</w:t>
            </w:r>
          </w:p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"q7_containers":         "yes_production",</w:t>
            </w:r>
          </w:p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"q8_database_type":      ["relational", "nosql"],</w:t>
            </w:r>
          </w:p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"q14_compliance":        ["hipaa", "soc2"],</w:t>
            </w:r>
          </w:p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"q15_data_residency":    "country_specific",</w:t>
            </w:r>
          </w:p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"q20_existing_vendor":   "microsoft",</w:t>
            </w:r>
          </w:p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"q22_monthly_budget":    "5k_to_50k",</w:t>
            </w:r>
          </w:p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"q23_hybrid_required":   "yes_ongoing"</w:t>
            </w:r>
          </w:p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5C" w:val="clear"/>
            <w:tcMar>
              <w:top w:type="dxa" w:w="140"/>
              <w:left w:type="dxa" w:w="240"/>
              <w:bottom w:type="dxa" w:w="1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74DA"/>
                <w:sz w:val="28"/>
                <w:szCs w:val="28"/>
              </w:rPr>
              <w:t xml:space="preserve">8.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Acceptance Criteria &amp; Success Metrics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756A9"/>
          <w:sz w:val="26"/>
          <w:szCs w:val="26"/>
        </w:rPr>
        <w:t xml:space="preserve">8.1  Acceptance Criteria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Full questionnaire completable in under 8 minutes without prior cloud knowledge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25 questions render correctly on desktop (≥1024px) and mobile (≥375px) with branching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Hard-eliminator rules exclude incompatible providers correctly in 100% of defined test cases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Scoring engine returns recommendation within 200ms (P95) of questionnaire submission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Each recommendation includes a minimum of 3 evidence bullets and 2 trade-off callouts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PDF export renders with user answers, final scores, rationale, and migration estimate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Session state persists across browser refresh for up to 24 hours via sessionStorage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Real-time score preview chart visible and updating after Stage C questions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756A9"/>
          <w:sz w:val="26"/>
          <w:szCs w:val="26"/>
        </w:rPr>
        <w:t xml:space="preserve">8.2  Success KPIs (Post-Launch)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2700"/>
        <w:gridCol w:w="2700"/>
      </w:tblGrid>
      <w:tr>
        <w:tc>
          <w:tcPr>
            <w:tcW w:type="dxa" w:w="3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 Metric</w:t>
            </w:r>
          </w:p>
        </w:tc>
        <w:tc>
          <w:tcPr>
            <w:tcW w:type="dxa" w:w="2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— 30 days</w:t>
            </w:r>
          </w:p>
        </w:tc>
        <w:tc>
          <w:tcPr>
            <w:tcW w:type="dxa" w:w="2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F2D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— 90 days</w:t>
            </w:r>
          </w:p>
        </w:tc>
      </w:tr>
      <w:tr>
        <w:tc>
          <w:tcPr>
            <w:tcW w:type="dxa" w:w="3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Questionnaire completion rate</w:t>
            </w:r>
          </w:p>
        </w:tc>
        <w:tc>
          <w:tcPr>
            <w:tcW w:type="dxa" w:w="2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&gt; 70%</w:t>
            </w:r>
          </w:p>
        </w:tc>
        <w:tc>
          <w:tcPr>
            <w:tcW w:type="dxa" w:w="2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&gt; 80%</w:t>
            </w:r>
          </w:p>
        </w:tc>
      </w:tr>
      <w:tr>
        <w:tc>
          <w:tcPr>
            <w:tcW w:type="dxa" w:w="3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Avg. session duration</w:t>
            </w:r>
          </w:p>
        </w:tc>
        <w:tc>
          <w:tcPr>
            <w:tcW w:type="dxa" w:w="2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 8 min</w:t>
            </w:r>
          </w:p>
        </w:tc>
        <w:tc>
          <w:tcPr>
            <w:tcW w:type="dxa" w:w="2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 6 min</w:t>
            </w:r>
          </w:p>
        </w:tc>
      </w:tr>
      <w:tr>
        <w:tc>
          <w:tcPr>
            <w:tcW w:type="dxa" w:w="3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 satisfaction (1–5 survey)</w:t>
            </w:r>
          </w:p>
        </w:tc>
        <w:tc>
          <w:tcPr>
            <w:tcW w:type="dxa" w:w="2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&gt; 4.0</w:t>
            </w:r>
          </w:p>
        </w:tc>
        <w:tc>
          <w:tcPr>
            <w:tcW w:type="dxa" w:w="2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&gt; 4.3</w:t>
            </w:r>
          </w:p>
        </w:tc>
      </w:tr>
      <w:tr>
        <w:tc>
          <w:tcPr>
            <w:tcW w:type="dxa" w:w="3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Recommendation acceptance rate</w:t>
            </w:r>
          </w:p>
        </w:tc>
        <w:tc>
          <w:tcPr>
            <w:tcW w:type="dxa" w:w="2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&gt; 50%</w:t>
            </w:r>
          </w:p>
        </w:tc>
        <w:tc>
          <w:tcPr>
            <w:tcW w:type="dxa" w:w="2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&gt; 60%</w:t>
            </w:r>
          </w:p>
        </w:tc>
      </w:tr>
      <w:tr>
        <w:tc>
          <w:tcPr>
            <w:tcW w:type="dxa" w:w="3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Report / PDF download rate</w:t>
            </w:r>
          </w:p>
        </w:tc>
        <w:tc>
          <w:tcPr>
            <w:tcW w:type="dxa" w:w="2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&gt; 30% of completions</w:t>
            </w:r>
          </w:p>
        </w:tc>
        <w:tc>
          <w:tcPr>
            <w:tcW w:type="dxa" w:w="2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40%</w:t>
            </w:r>
          </w:p>
        </w:tc>
      </w:tr>
      <w:tr>
        <w:tc>
          <w:tcPr>
            <w:tcW w:type="dxa" w:w="3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Support tickets re: cloud choice</w:t>
            </w:r>
          </w:p>
        </w:tc>
        <w:tc>
          <w:tcPr>
            <w:tcW w:type="dxa" w:w="2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Baseline set</w:t>
            </w:r>
          </w:p>
        </w:tc>
        <w:tc>
          <w:tcPr>
            <w:tcW w:type="dxa" w:w="2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 20% of baseline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5C" w:val="clear"/>
            <w:tcMar>
              <w:top w:type="dxa" w:w="140"/>
              <w:left w:type="dxa" w:w="240"/>
              <w:bottom w:type="dxa" w:w="1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74DA"/>
                <w:sz w:val="28"/>
                <w:szCs w:val="28"/>
              </w:rPr>
              <w:t xml:space="preserve">9.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Future Roadmap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756A9"/>
          <w:sz w:val="26"/>
          <w:szCs w:val="26"/>
        </w:rPr>
        <w:t xml:space="preserve">Phase 2 — Live Cost Estimation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Integrate live pricing APIs from AWS, Azure, GCP, and OCI to generate monthly cost breakdowns based on workload parameters from the questionnaire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a 'What-if' comparison mode: run side-by-side cost projections with different configuration assumptions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Display a migration cost estimate (one-time engineering effort + ongoing infrastructure cost)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756A9"/>
          <w:sz w:val="26"/>
          <w:szCs w:val="26"/>
        </w:rPr>
        <w:t xml:space="preserve">Phase 3 — Guided Migration Playbook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Generate a step-by-step migration checklist tailored to the selected provider and specific workload type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AI-powered chat assistant for follow-up questions after the recommendation is generated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Automated architecture diagram suggestions based on workload and provider answers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Multi-cloud recommendation mode: distribute workloads intelligently across providers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Integration with cloud provider partner programs to connect users with certified migration partners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F2D5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F2D5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Authors</w:t>
            </w:r>
          </w:p>
        </w:tc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F2D5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F2D5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v2.0 (Combined)</w:t>
            </w:r>
          </w:p>
        </w:tc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ChatGPT + Claude</w:t>
            </w:r>
          </w:p>
        </w:tc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Draft — For Review</w:t>
            </w:r>
          </w:p>
        </w:tc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March 2026</w:t>
            </w:r>
          </w:p>
        </w:tc>
      </w:tr>
    </w:tbl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B4" w:sz="4" w:space="4"/>
      </w:pBdr>
      <w:jc w:val="center"/>
    </w:pPr>
    <w:r>
      <w:rPr>
        <w:rFonts w:ascii="Arial" w:cs="Arial" w:eastAsia="Arial" w:hAnsi="Arial"/>
        <w:color w:val="334155"/>
        <w:sz w:val="18"/>
        <w:szCs w:val="18"/>
      </w:rPr>
      <w:t xml:space="preserve">Cloud Provider Advisor  |  Combined PRD  |  Page </w:t>
    </w:r>
    <w:r>
      <w:rPr>
        <w:rFonts w:ascii="Arial" w:cs="Arial" w:eastAsia="Arial" w:hAnsi="Arial"/>
        <w:color w:val="3341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334155"/>
        <w:sz w:val="18"/>
        <w:szCs w:val="18"/>
      </w:rPr>
      <w:t xml:space="preserve"> of </w:t>
    </w:r>
    <w:r>
      <w:rPr>
        <w:rFonts w:ascii="Arial" w:cs="Arial" w:eastAsia="Arial" w:hAnsi="Arial"/>
        <w:color w:val="3341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0F2D5C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756A9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20" w:after="80"/>
      <w:outlineLvl w:val="2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2026-03-08T12:29:48.853Z</dcterms:created>
  <dcterms:modified xsi:type="dcterms:W3CDTF">2026-03-08T12:29:48.855Z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