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88C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1. 系统运行环境与基础设施规格</w:t>
      </w:r>
    </w:p>
    <w:p w14:paraId="34C350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为确保 AI 模型推理的稳定性与数据安全性，系统采用私有化部署模式 。</w:t>
      </w:r>
    </w:p>
    <w:p w14:paraId="18B80D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4F7AEB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操作系统 (OS)：</w:t>
      </w:r>
    </w:p>
    <w:p w14:paraId="1264CB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服务端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：推荐使用 Ubuntu 22.04 LTS 或 CentOS 7.9 及以上 Linux 内核系统，以支持 Docker 容器化部署及 NVIDIA 驱动环境 。</w:t>
      </w:r>
    </w:p>
    <w:p w14:paraId="589CCB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客户端：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基于 Web 端访问，兼容 Chrome 90+、Edge 等主流浏览器。</w:t>
      </w:r>
    </w:p>
    <w:p w14:paraId="724FAD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4C4FFC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硬件加速：</w:t>
      </w:r>
    </w:p>
    <w:p w14:paraId="707CE7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由于涉及大语言模型（LLM）推理与微调，建议部署环境配备 NVIDIA A100/H100 或同等算力的 GPU 显卡，显存不低于 40GB 。</w:t>
      </w:r>
    </w:p>
    <w:p w14:paraId="54C22F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drawing>
          <wp:inline distT="0" distB="0" distL="114300" distR="114300">
            <wp:extent cx="5274310" cy="3844925"/>
            <wp:effectExtent l="0" t="0" r="889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7F8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部署架构：</w:t>
      </w:r>
    </w:p>
    <w:p w14:paraId="110D35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支持 K8s 集群化部署，实现需求解析服务、图谱计算服务、LLM 推理服务的逻辑解耦 。</w:t>
      </w:r>
    </w:p>
    <w:p w14:paraId="16194B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7BFD42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5F7D3A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2. 核心工作流：从需求到用例的每一步</w:t>
      </w:r>
    </w:p>
    <w:p w14:paraId="436192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2.1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第一步：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需求输入与标准化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(Requirement Ingestion)</w:t>
      </w:r>
    </w:p>
    <w:p w14:paraId="3C2451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29083B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2.1.1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多源格式读取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：系统监听上传接口，接收 Word (.docx)、Excel (.xlsx)、JSON 或 Swagger/OpenAPI 接口文档 。</w:t>
      </w:r>
    </w:p>
    <w:p w14:paraId="036074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监听与接收：系统后台建立基于 RESTful 的上传服务，监听 POST /api/v1/requirements/upload 接口 。</w:t>
      </w:r>
      <w:bookmarkStart w:id="0" w:name="_GoBack"/>
      <w:bookmarkEnd w:id="0"/>
    </w:p>
    <w:p w14:paraId="493DB4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格式自动分流：</w:t>
      </w:r>
    </w:p>
    <w:p w14:paraId="5C820E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0" w:leftChars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非结构化文档 (.docx, .xlsx)：调用 Apache Tika 或 Python-Docx 库读取文本流，过滤页眉、页脚及冗余样式信息 。</w:t>
      </w:r>
    </w:p>
    <w:p w14:paraId="189631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0" w:leftChars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结构化文档 (JSON, YAML)：直接解析对象树，主要针对 Swagger 或 OpenAPI 接口定义文件 。</w:t>
      </w:r>
    </w:p>
    <w:p w14:paraId="439B2A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</w:p>
    <w:p w14:paraId="7EB298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OCR 辅助（可选扩展）：若 Word 中包含图片格式的流程图，系统调用 OCR 引擎（如 Tesseract 或 PaddleOCR）提取图片文字，确保信息无遗漏 。</w:t>
      </w:r>
    </w:p>
    <w:p w14:paraId="2EB40E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42C9BA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 xml:space="preserve">2.1.2 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内容清洗与转换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：利用 NLP 技术将非结构化文本实时转化为标准 JSON 结构，通过实体识别（NER）精准锁定“检验项目”与“技术要求” 。</w:t>
      </w:r>
    </w:p>
    <w:p w14:paraId="0822C7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文本预处理：</w:t>
      </w:r>
    </w:p>
    <w:p w14:paraId="2C2986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分词与去噪：去除文档中的停用词（如“的”、“了”等非关键性连接词）。</w:t>
      </w:r>
    </w:p>
    <w:p w14:paraId="688CDD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断句处理：基于语义边界将长段落拆分为独立的“需求原子桩”。</w:t>
      </w:r>
    </w:p>
    <w:p w14:paraId="1B8A13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深度语义提取 (NER &amp; SRL)：</w:t>
      </w:r>
    </w:p>
    <w:p w14:paraId="74A669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命名实体识别 (NER)：利用预训练模型识别出“角色”（如：管理员）、“操作”（如：重置密码）、“参数”（如：手机号）及“数值约束”（如：8-16位） 。</w:t>
      </w:r>
    </w:p>
    <w:p w14:paraId="209505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语义角色标注 (SRL)：分析句子中的谓语关系，明确“谁”对“什么”执行了“什么动作”，并满足“什么条件” 。</w:t>
      </w:r>
    </w:p>
    <w:p w14:paraId="609852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核心字段映射：将解析结果自动归类至标准 JSON 的 req_spec 字段，重点锁定 “检验项目”（功能点）与 “技术要求”（验收标准） 。</w:t>
      </w:r>
    </w:p>
    <w:p w14:paraId="5BA56B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0E58A0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 xml:space="preserve">2.1.3 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规范化引导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：若输入文档解析置信度低于 80%，系统自动触发引导提示，要求商务/产品人员按预设模板补全关键信息 。</w:t>
      </w:r>
    </w:p>
    <w:p w14:paraId="34B7E9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置信度评分计算：计算公式定义为：</w:t>
      </w:r>
      <m:oMath>
        <m:r>
          <m:rPr/>
          <w:rPr>
            <w:rFonts w:hint="eastAsia" w:ascii="Cambria Math" w:hAnsi="Cambria Math" w:eastAsia="黑体" w:cs="黑体"/>
            <w:sz w:val="21"/>
            <w:szCs w:val="21"/>
          </w:rPr>
          <m:t>Confidence=</m:t>
        </m:r>
        <m:f>
          <m:fPr>
            <m:ctrlPr>
              <w:rPr>
                <w:rFonts w:hint="eastAsia" w:ascii="Cambria Math" w:hAnsi="Cambria Math" w:eastAsia="黑体" w:cs="黑体"/>
                <w:b w:val="0"/>
                <w:bCs w:val="0"/>
                <w:i/>
                <w:sz w:val="21"/>
                <w:szCs w:val="21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hint="eastAsia" w:ascii="Cambria Math" w:hAnsi="Cambria Math" w:eastAsia="黑体" w:cs="黑体"/>
                    <w:b w:val="0"/>
                    <w:bCs w:val="0"/>
                    <w:i/>
                    <w:sz w:val="21"/>
                    <w:szCs w:val="21"/>
                  </w:rPr>
                </m:ctrlPr>
              </m:naryPr>
              <m:sub>
                <m:ctrlPr>
                  <w:rPr>
                    <w:rFonts w:hint="eastAsia" w:ascii="Cambria Math" w:hAnsi="Cambria Math" w:eastAsia="黑体" w:cs="黑体"/>
                    <w:b w:val="0"/>
                    <w:bCs w:val="0"/>
                    <w:sz w:val="21"/>
                    <w:szCs w:val="21"/>
                  </w:rPr>
                </m:ctrlPr>
              </m:sub>
              <m:sup>
                <m:ctrlPr>
                  <w:rPr>
                    <w:rFonts w:hint="eastAsia" w:ascii="Cambria Math" w:hAnsi="Cambria Math" w:eastAsia="黑体" w:cs="黑体"/>
                    <w:b w:val="0"/>
                    <w:bCs w:val="0"/>
                    <w:sz w:val="21"/>
                    <w:szCs w:val="21"/>
                  </w:rPr>
                </m:ctrlPr>
              </m:sup>
              <m:e>
                <m:sSub>
                  <m:sSubPr>
                    <m:ctrlPr>
                      <w:rPr>
                        <w:rFonts w:hint="eastAsia" w:ascii="Cambria Math" w:hAnsi="Cambria Math" w:eastAsia="黑体" w:cs="黑体"/>
                        <w:b w:val="0"/>
                        <w:bCs w:val="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 w:val="21"/>
                        <w:szCs w:val="21"/>
                      </w:rPr>
                      <m:t>E</m:t>
                    </m:r>
                    <m:ctrlPr>
                      <w:rPr>
                        <w:rFonts w:hint="eastAsia" w:ascii="Cambria Math" w:hAnsi="Cambria Math" w:eastAsia="黑体" w:cs="黑体"/>
                        <w:b w:val="0"/>
                        <w:bCs w:val="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黑体" w:cs="黑体"/>
                        <w:sz w:val="21"/>
                        <w:szCs w:val="21"/>
                      </w:rPr>
                      <m:t>matched</m:t>
                    </m:r>
                    <m:ctrlPr>
                      <w:rPr>
                        <w:rFonts w:hint="eastAsia" w:ascii="Cambria Math" w:hAnsi="Cambria Math" w:eastAsia="黑体" w:cs="黑体"/>
                        <w:b w:val="0"/>
                        <w:bCs w:val="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eastAsia" w:ascii="Cambria Math" w:hAnsi="Cambria Math" w:eastAsia="黑体" w:cs="黑体"/>
                    <w:b w:val="0"/>
                    <w:bCs w:val="0"/>
                    <w:sz w:val="21"/>
                    <w:szCs w:val="21"/>
                  </w:rPr>
                </m:ctrlPr>
              </m:e>
            </m:nary>
            <m:ctrlPr>
              <w:rPr>
                <w:rFonts w:hint="eastAsia" w:ascii="Cambria Math" w:hAnsi="Cambria Math" w:eastAsia="黑体" w:cs="黑体"/>
                <w:b w:val="0"/>
                <w:bCs w:val="0"/>
                <w:i/>
                <w:sz w:val="21"/>
                <w:szCs w:val="21"/>
              </w:rPr>
            </m:ctrlPr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hint="eastAsia" w:ascii="Cambria Math" w:hAnsi="Cambria Math" w:eastAsia="黑体" w:cs="黑体"/>
                    <w:b w:val="0"/>
                    <w:bCs w:val="0"/>
                    <w:i/>
                    <w:sz w:val="21"/>
                    <w:szCs w:val="21"/>
                  </w:rPr>
                </m:ctrlPr>
              </m:naryPr>
              <m:sub>
                <m:ctrlPr>
                  <w:rPr>
                    <w:rFonts w:hint="eastAsia" w:ascii="Cambria Math" w:hAnsi="Cambria Math" w:eastAsia="黑体" w:cs="黑体"/>
                    <w:b w:val="0"/>
                    <w:bCs w:val="0"/>
                    <w:sz w:val="21"/>
                    <w:szCs w:val="21"/>
                  </w:rPr>
                </m:ctrlPr>
              </m:sub>
              <m:sup>
                <m:ctrlPr>
                  <w:rPr>
                    <w:rFonts w:hint="eastAsia" w:ascii="Cambria Math" w:hAnsi="Cambria Math" w:eastAsia="黑体" w:cs="黑体"/>
                    <w:b w:val="0"/>
                    <w:bCs w:val="0"/>
                    <w:sz w:val="21"/>
                    <w:szCs w:val="21"/>
                  </w:rPr>
                </m:ctrlPr>
              </m:sup>
              <m:e>
                <m:sSub>
                  <m:sSubPr>
                    <m:ctrlPr>
                      <w:rPr>
                        <w:rFonts w:hint="eastAsia" w:ascii="Cambria Math" w:hAnsi="Cambria Math" w:eastAsia="黑体" w:cs="黑体"/>
                        <w:b w:val="0"/>
                        <w:bCs w:val="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 w:val="21"/>
                        <w:szCs w:val="21"/>
                      </w:rPr>
                      <m:t>E</m:t>
                    </m:r>
                    <m:ctrlPr>
                      <w:rPr>
                        <w:rFonts w:hint="eastAsia" w:ascii="Cambria Math" w:hAnsi="Cambria Math" w:eastAsia="黑体" w:cs="黑体"/>
                        <w:b w:val="0"/>
                        <w:bCs w:val="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黑体" w:cs="黑体"/>
                        <w:sz w:val="21"/>
                        <w:szCs w:val="21"/>
                      </w:rPr>
                      <m:t>required</m:t>
                    </m:r>
                    <m:ctrlPr>
                      <w:rPr>
                        <w:rFonts w:hint="eastAsia" w:ascii="Cambria Math" w:hAnsi="Cambria Math" w:eastAsia="黑体" w:cs="黑体"/>
                        <w:b w:val="0"/>
                        <w:bCs w:val="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eastAsia" w:ascii="Cambria Math" w:hAnsi="Cambria Math" w:eastAsia="黑体" w:cs="黑体"/>
                    <w:b w:val="0"/>
                    <w:bCs w:val="0"/>
                    <w:sz w:val="21"/>
                    <w:szCs w:val="21"/>
                  </w:rPr>
                </m:ctrlPr>
              </m:e>
            </m:nary>
            <m:ctrlPr>
              <w:rPr>
                <w:rFonts w:hint="eastAsia" w:ascii="Cambria Math" w:hAnsi="Cambria Math" w:eastAsia="黑体" w:cs="黑体"/>
                <w:b w:val="0"/>
                <w:bCs w:val="0"/>
                <w:i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黑体" w:cs="黑体"/>
            <w:sz w:val="21"/>
            <w:szCs w:val="21"/>
          </w:rPr>
          <m:t>。其中</m:t>
        </m:r>
        <m:sSub>
          <m:sSubPr>
            <m:ctrlPr>
              <w:rPr>
                <w:rFonts w:hint="eastAsia" w:ascii="Cambria Math" w:hAnsi="Cambria Math" w:eastAsia="黑体" w:cs="黑体"/>
                <w:b w:val="0"/>
                <w:bCs w:val="0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黑体" w:cs="黑体"/>
                <w:b w:val="0"/>
                <w:bCs w:val="0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1"/>
                <w:szCs w:val="21"/>
              </w:rPr>
              <m:t>matched</m:t>
            </m:r>
            <m:ctrlPr>
              <w:rPr>
                <w:rFonts w:hint="eastAsia" w:ascii="Cambria Math" w:hAnsi="Cambria Math" w:eastAsia="黑体" w:cs="黑体"/>
                <w:b w:val="0"/>
                <w:bCs w:val="0"/>
                <w:i/>
                <w:sz w:val="21"/>
                <w:szCs w:val="21"/>
              </w:rPr>
            </m:ctrlPr>
          </m:sub>
        </m:sSub>
      </m:oMath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为成功识别的核心实体（如操作、输入、预期），</w:t>
      </w:r>
      <m:oMath>
        <m:sSub>
          <m:sSubPr>
            <m:ctrlPr>
              <w:rPr>
                <w:rFonts w:hint="eastAsia" w:ascii="Cambria Math" w:hAnsi="Cambria Math" w:eastAsia="黑体" w:cs="黑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黑体" w:cs="黑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1"/>
                <w:szCs w:val="21"/>
              </w:rPr>
              <m:t>required</m:t>
            </m:r>
            <m:ctrlPr>
              <w:rPr>
                <w:rFonts w:hint="eastAsia" w:ascii="Cambria Math" w:hAnsi="Cambria Math" w:eastAsia="黑体" w:cs="黑体"/>
                <w:sz w:val="21"/>
                <w:szCs w:val="21"/>
              </w:rPr>
            </m:ctrlPr>
          </m:sub>
        </m:sSub>
      </m:oMath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为标准用例模版所需的必备要素 。</w:t>
      </w:r>
    </w:p>
    <w:p w14:paraId="0E684F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阈值触发机制：</w:t>
      </w:r>
    </w:p>
    <w:p w14:paraId="0EAA2D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若 </w:t>
      </w:r>
      <m:oMath>
        <m:r>
          <m:rPr/>
          <w:rPr>
            <w:rFonts w:hint="eastAsia" w:ascii="Cambria Math" w:hAnsi="Cambria Math" w:eastAsia="黑体" w:cs="黑体"/>
            <w:sz w:val="21"/>
            <w:szCs w:val="21"/>
          </w:rPr>
          <m:t>Confidence≥80%</m:t>
        </m:r>
      </m:oMath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：系统自动进入 AI 处理层进行场景生成 。</w:t>
      </w:r>
    </w:p>
    <w:p w14:paraId="3B9B86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若 </w:t>
      </w:r>
      <m:oMath>
        <m:r>
          <m:rPr/>
          <w:rPr>
            <w:rFonts w:hint="eastAsia" w:ascii="Cambria Math" w:hAnsi="Cambria Math" w:eastAsia="黑体" w:cs="黑体"/>
            <w:sz w:val="21"/>
            <w:szCs w:val="21"/>
          </w:rPr>
          <m:t>Confidence&lt;80%</m:t>
        </m:r>
      </m:oMath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：系统阻断流程，并向前端返回报错信息 。</w:t>
      </w:r>
    </w:p>
    <w:p w14:paraId="1822DB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引导式补全：</w:t>
      </w:r>
    </w:p>
    <w:p w14:paraId="01920D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缺失项高亮：在界面上通过红色加粗提示“技术要求模糊”或“输入参数缺失” 。</w:t>
      </w:r>
    </w:p>
    <w:p w14:paraId="6A2DEC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模板推送：自动下发《标准需求编写规范模板》，引导商务或产品人员按照“如果 [前提]，执行 [操作]，则 [结果]”的逻辑重写需求 。</w:t>
      </w:r>
    </w:p>
    <w:p w14:paraId="57DFF4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1CA6D7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 xml:space="preserve">2.1.4 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输出产物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：标准结构化需求桩 (Intermediate JSON)</w:t>
      </w:r>
    </w:p>
    <w:p w14:paraId="4C2E3A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经过此步骤后，系统生成如下标准化的 JSON 片段，作为下一阶段“AI 处理层”的输入：</w:t>
      </w:r>
    </w:p>
    <w:p w14:paraId="5F0622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</w:p>
    <w:p w14:paraId="2A94E969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JSON</w:t>
      </w:r>
    </w:p>
    <w:p w14:paraId="3F720D5E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</w:p>
    <w:p w14:paraId="77633D03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{</w:t>
      </w:r>
    </w:p>
    <w:p w14:paraId="39C6A55B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"ingestion_metadata": {</w:t>
      </w:r>
    </w:p>
    <w:p w14:paraId="45ED3EC6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"source_file": "创新中心管理系统_V1.docx",</w:t>
      </w:r>
    </w:p>
    <w:p w14:paraId="0313B8A8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"parsing_confidence": 0.89,</w:t>
      </w:r>
    </w:p>
    <w:p w14:paraId="780288B2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"timestamp": "2026-01-27T21:54:14Z"</w:t>
      </w:r>
    </w:p>
    <w:p w14:paraId="365A3772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},</w:t>
      </w:r>
    </w:p>
    <w:p w14:paraId="0FBFD995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"extracted_entities": {</w:t>
      </w:r>
    </w:p>
    <w:p w14:paraId="243AFAB7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"module": "用户权限管理",</w:t>
      </w:r>
    </w:p>
    <w:p w14:paraId="054C2036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"feature": "多因子登录验证",</w:t>
      </w:r>
    </w:p>
    <w:p w14:paraId="4A6CDB47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"constraints": [</w:t>
      </w:r>
    </w:p>
    <w:p w14:paraId="1DAC5BA4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{"field": "otp_code", "type": "numeric", "length": 6},</w:t>
      </w:r>
    </w:p>
    <w:p w14:paraId="569B92A2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{"field": "retry_limit", "value": 3, "action": "lock_account"}</w:t>
      </w:r>
    </w:p>
    <w:p w14:paraId="154E17B6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]</w:t>
      </w:r>
    </w:p>
    <w:p w14:paraId="4531A493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}</w:t>
      </w:r>
    </w:p>
    <w:p w14:paraId="509D8B55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}</w:t>
      </w:r>
    </w:p>
    <w:p w14:paraId="53073B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</w:p>
    <w:p w14:paraId="61ACC0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</w:pPr>
    </w:p>
    <w:p w14:paraId="01DF00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7949A9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 xml:space="preserve">2.2 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第二步：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AI 深度语义解析 (AI Processing)</w:t>
      </w:r>
    </w:p>
    <w:p w14:paraId="2DCE5C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2.2.1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实体与角色标注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：利用 LLM 结合语义角色标注（SRL）技术，自动提取操作行为（如“点击”）、输入参数（如“密码”）、约束条件（如“错误3次”）及异常场景 。</w:t>
      </w:r>
    </w:p>
    <w:p w14:paraId="7D4B65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实体提取 (NER)：</w:t>
      </w:r>
    </w:p>
    <w:p w14:paraId="6452E8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识别功能点：如“登录”、“支付”、“账户查询” 。</w:t>
      </w:r>
    </w:p>
    <w:p w14:paraId="7905EA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识别输入参数：自动锁定用户输入项，如“手机号”、“验证码”、“密码长度” 。</w:t>
      </w:r>
    </w:p>
    <w:p w14:paraId="3D00D1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识别业务约束：精准捕捉量化指标，如“错误3次”、“锁定1小时”、“响应时间 &lt; 2s” 。</w:t>
      </w:r>
    </w:p>
    <w:p w14:paraId="4E0C88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语义角色标注 (SRL) 逻辑建模：</w:t>
      </w:r>
    </w:p>
    <w:p w14:paraId="78B26C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系统通过分析谓语（Action）及其关联角色（Agent/Object）建立行为树 。</w:t>
      </w:r>
    </w:p>
    <w:p w14:paraId="591F3C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示例解析：针对“用户登录时，密码错误3次则锁定账号”：</w:t>
      </w:r>
    </w:p>
    <w:p w14:paraId="174AF5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0" w:leftChars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Agent (主体)：用户 。</w:t>
      </w:r>
    </w:p>
    <w:p w14:paraId="5FE1A8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0" w:leftChars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Action (动作)：登录 。</w:t>
      </w:r>
    </w:p>
    <w:p w14:paraId="3C0EE1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0" w:leftChars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Condition (约束/条件)：密码错误、次数=3 。</w:t>
      </w:r>
    </w:p>
    <w:p w14:paraId="39AFA1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0" w:leftChars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Result (预期结果)：账户锁定、时长1小时 。</w:t>
      </w:r>
    </w:p>
    <w:p w14:paraId="082844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异常场景识别：</w:t>
      </w:r>
    </w:p>
    <w:p w14:paraId="4B8EC4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系统不仅识别正常路径，还利用 LLM 挖掘语义中的否定或异常词汇（如“失败”、“不可用”、“超时”），自动生成异常流程测试点 。</w:t>
      </w:r>
    </w:p>
    <w:p w14:paraId="5F1B89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08FB2A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 xml:space="preserve">2.2.2 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提示词 (Prompt) 工程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：系统内置动态提示词模板，根据需求类型自动调整 Prompt 策略，以最大化 LLM 的逻辑生成质量 。</w:t>
      </w:r>
    </w:p>
    <w:p w14:paraId="393A79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上下文注入 (Context Injection)：</w:t>
      </w:r>
    </w:p>
    <w:p w14:paraId="39BAC4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将第一层提取的模块路径（如：用户中心/安全/登录）和优先级（P0）作为背景信息注入 Prompt 。</w:t>
      </w:r>
    </w:p>
    <w:p w14:paraId="56E348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指令约束：明确要求 LLM 必须输出符合定义的 JSON 结构，包含 steps、expected 和 test_data_sets 。</w:t>
      </w:r>
    </w:p>
    <w:p w14:paraId="02FA93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测试策略引导 (Methodology Induction)：</w:t>
      </w:r>
    </w:p>
    <w:p w14:paraId="478B33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数值类需求：自动在 Prompt 中加入“执行边界值分析”指令，要求生成最大值、最小值、空值等测试用例 。</w:t>
      </w:r>
    </w:p>
    <w:p w14:paraId="5F8CF0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流程类需求：加入“执行因果图/判定表”指令，覆盖多条件组合下的业务路径 。</w:t>
      </w:r>
    </w:p>
    <w:p w14:paraId="2D8D05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知识图谱约束 (KG-Reinforcement)：</w:t>
      </w:r>
    </w:p>
    <w:p w14:paraId="0E02FE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将知识图谱中检索到的关联规则（如：手机号号段规则）作为“参考知识”放入 Prompt 模板中，强制 LLM 遵循既定业务规范，避免其产生随机幻觉 。</w:t>
      </w:r>
    </w:p>
    <w:p w14:paraId="7F78AD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迭代优化机制：</w:t>
      </w:r>
    </w:p>
    <w:p w14:paraId="0BCD32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系统记录历史人工审核的反馈（如：修改点、删除原因），将纠偏后的优秀范例作为 Few-Shot（少量示例）动态加入 Prompt，实现模型逻辑生成的持续进化 。</w:t>
      </w:r>
    </w:p>
    <w:p w14:paraId="30DF35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3E97FC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 xml:space="preserve">2.2.3 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分类与优先级评估 (ML Classification)</w:t>
      </w:r>
    </w:p>
    <w:p w14:paraId="5525C4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在生成逻辑的同时，利用机器学习（ML）模型对用例进行属性标注 。</w:t>
      </w:r>
    </w:p>
    <w:p w14:paraId="7E73B4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模块归属分类：基于历史数据将生成用例自动归类至对应的业务树节点 。</w:t>
      </w:r>
    </w:p>
    <w:p w14:paraId="0CC34C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优先级预测：根据功能点的重要程度和风险等级，自动标记 P0/P1/P2 优先级，辅助测试人员决定执行顺序 。</w:t>
      </w:r>
    </w:p>
    <w:p w14:paraId="4F8BAE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</w:p>
    <w:p w14:paraId="10CB5C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63DCE3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 xml:space="preserve">2.3 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第三步：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基于知识图谱的场景扩展 (KG Expansion)</w:t>
      </w:r>
    </w:p>
    <w:p w14:paraId="6A366E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2.3.1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路径搜索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：当系统在第二步完成语义解析后，会获取到一个或多个“核心实体”作为搜索种子 。</w:t>
      </w:r>
    </w:p>
    <w:p w14:paraId="623F33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种子节点映射：系统将识别出的功能点（如“支付”）映射为知识图谱中的 “核心节点” (Seed Node) 。</w:t>
      </w:r>
    </w:p>
    <w:p w14:paraId="79E2F1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激活业务场景逻辑层：</w:t>
      </w:r>
    </w:p>
    <w:p w14:paraId="358899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底层指令：执行类似于 MATCH (p:Function {name: "支付"})-[:HAS_FLOW]-&gt;(flow) 的查询语句 。</w:t>
      </w:r>
    </w:p>
    <w:p w14:paraId="4525F7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深度遍历：系统自动从核心节点出发，沿着“业务流”边缘进行 $N$ 度路径搜索，寻找与其关联的行业标准流程 。</w:t>
      </w:r>
    </w:p>
    <w:p w14:paraId="3CD234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</w:p>
    <w:p w14:paraId="7FAE2D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上下文关联：如果需求文档只提到了“支付成功”，图谱会强制调取与其关联的“前置依赖节点”（如：账户状态检查、实名认证状态） 。</w:t>
      </w:r>
    </w:p>
    <w:p w14:paraId="63A779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</w:pPr>
    </w:p>
    <w:p w14:paraId="618F83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2.3.2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子场景补齐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此步骤旨在通过图谱的“联想能力”弥补人工经验的不足，防止测试遗漏 。</w:t>
      </w:r>
    </w:p>
    <w:p w14:paraId="49055A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异常路径激活：基于 “业务场景逻辑层”，系统会自动拉取与核心功能相连的所有“异常分支”节点 ：</w:t>
      </w:r>
    </w:p>
    <w:p w14:paraId="6932BC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资金类异常：自动补齐“余额不足”、“账户冻结”、“单日限额触发”等场景 。</w:t>
      </w:r>
    </w:p>
    <w:p w14:paraId="6B4FD8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通讯类异常：自动关联“支付接口超时”、“第三方回调失败（如微信/支付宝回调丢失）”、“网络中断”等场景 。</w:t>
      </w:r>
    </w:p>
    <w:p w14:paraId="347B05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补齐测试桩 (Test Stub Generation)：</w:t>
      </w:r>
    </w:p>
    <w:p w14:paraId="56D4ED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对于每一个补齐的子场景，系统会生成对应的逻辑描述片段（如：“当支付请求发出且 30s 未收到回调时，触发补偿查询逻辑”） 。</w:t>
      </w:r>
    </w:p>
    <w:p w14:paraId="76A7AE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场景优先级标注：根据图谱中节点的“权重”标签，自动为补齐的场景标注优先级（如：“余额不足”标记为 P0，“第三方系统瘫痪”标记为 P2） 。</w:t>
      </w:r>
    </w:p>
    <w:p w14:paraId="5D7AF3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3EFD7D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 xml:space="preserve">2.3.3 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边界约束与防幻觉校验</w:t>
      </w:r>
    </w:p>
    <w:p w14:paraId="1AA071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这是系统的“安全护栏”，确保 AI 生成的用例不脱离现实物理规则和业务逻辑 。</w:t>
      </w:r>
    </w:p>
    <w:p w14:paraId="32261C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强制调用规则与约束层：</w:t>
      </w:r>
    </w:p>
    <w:p w14:paraId="362902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系统将 AI 初步生成的测试数据（如：输入的手机号）送入 “规则与约束层” 进行拦截校验 。</w:t>
      </w:r>
    </w:p>
    <w:p w14:paraId="015787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规则比对逻辑：若 AI 生成的用例中手机号为 10 位，系统会检索图谱中 [:CONSTRAINED_BY] 关系指向的“国家标准-手机号位长”节点（值为 11 位），并触发修正 。</w:t>
      </w:r>
    </w:p>
    <w:p w14:paraId="212FE9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防幻觉机制执行：</w:t>
      </w:r>
    </w:p>
    <w:p w14:paraId="2F54A6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拦截器逻辑：在最终输出 JSON 前，系统会执行一个“幻觉检查循环” 。</w:t>
      </w:r>
    </w:p>
    <w:p w14:paraId="19032E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示例：如果 LLM 幻想出一个“用户可以用负数金额支付”的场景，图谱中的“金额约束规则”会强制将其拦截并改为正确的边界值（如：</w:t>
      </w:r>
      <m:oMath>
        <m:r>
          <m:rPr/>
          <w:rPr>
            <w:rFonts w:hint="default" w:ascii="Cambria Math" w:hAnsi="Cambria Math" w:eastAsia="黑体"/>
            <w:sz w:val="21"/>
          </w:rPr>
          <m:t>0</m:t>
        </m:r>
      </m:oMath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或 </w:t>
      </w:r>
      <m:oMath>
        <m:r>
          <m:rPr/>
          <w:rPr>
            <w:rFonts w:hint="default" w:ascii="Cambria Math" w:hAnsi="Cambria Math" w:eastAsia="黑体"/>
            <w:sz w:val="21"/>
          </w:rPr>
          <m:t>0.01</m:t>
        </m:r>
      </m:oMath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） 。</w:t>
      </w:r>
    </w:p>
    <w:p w14:paraId="6654C2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输出校准：只有通过了图谱约束校验的逻辑段，才能进入下一阶段的“用例生成层” 。</w:t>
      </w:r>
    </w:p>
    <w:p w14:paraId="00D7D9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292CD7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2.3.4 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扩展后的逻辑数据结构示例 (JSON)</w:t>
      </w:r>
    </w:p>
    <w:p w14:paraId="539B53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经过 KG 扩展后，数据将包含更多隐藏的深度场景：</w:t>
      </w:r>
    </w:p>
    <w:p w14:paraId="16653E82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{</w:t>
      </w:r>
    </w:p>
    <w:p w14:paraId="1FF3BB2B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 "kg_expansion": {</w:t>
      </w:r>
    </w:p>
    <w:p w14:paraId="4E750B9C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   "core_node": "支付模块",</w:t>
      </w:r>
    </w:p>
    <w:p w14:paraId="5036EBFB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   "activated_scenarios": [</w:t>
      </w:r>
    </w:p>
    <w:p w14:paraId="6D30554A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     {</w:t>
      </w:r>
    </w:p>
    <w:p w14:paraId="04D3205C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       "type": "Exception",</w:t>
      </w:r>
    </w:p>
    <w:p w14:paraId="612083F3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       "name": "余额不足",</w:t>
      </w:r>
    </w:p>
    <w:p w14:paraId="5CF96A36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       "logic": "Amount &gt; Balance",</w:t>
      </w:r>
    </w:p>
    <w:p w14:paraId="4802101A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       "source": "Business_Scenario_Layer"</w:t>
      </w:r>
    </w:p>
    <w:p w14:paraId="3C5DA128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     },</w:t>
      </w:r>
    </w:p>
    <w:p w14:paraId="2379E46F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     {</w:t>
      </w:r>
    </w:p>
    <w:p w14:paraId="0D2CDC38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       "type": "Boundary",</w:t>
      </w:r>
    </w:p>
    <w:p w14:paraId="31343597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       "name": "支付金额上限",</w:t>
      </w:r>
    </w:p>
    <w:p w14:paraId="36118C59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       "rule": "&lt;= 50000",</w:t>
      </w:r>
    </w:p>
    <w:p w14:paraId="4C78C8C2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       "source": "Constraint_Layer"</w:t>
      </w:r>
    </w:p>
    <w:p w14:paraId="17CD67E5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     }</w:t>
      </w:r>
    </w:p>
    <w:p w14:paraId="290422DB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   ]</w:t>
      </w:r>
    </w:p>
    <w:p w14:paraId="16A9A236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 }</w:t>
      </w:r>
    </w:p>
    <w:p w14:paraId="35BC3AC7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}</w:t>
      </w:r>
    </w:p>
    <w:p w14:paraId="31FBC6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 xml:space="preserve">2.4 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第四步：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用例自动化生成 (Test Case Generation)</w:t>
      </w:r>
    </w:p>
    <w:p w14:paraId="057880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本阶段在系统的“生成引擎模块”中运行，通常基于 Python 环境集成测试方法论算法库。</w:t>
      </w:r>
    </w:p>
    <w:p w14:paraId="2E83DA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2.4.1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理论模型套用：从语义到测试矩阵 (Algorithmic Logic)</w:t>
      </w:r>
    </w:p>
    <w:p w14:paraId="6676CE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系统不再仅仅依赖 LLM 的概率生成，而是强制执行经典的测试设计方法论：</w:t>
      </w:r>
    </w:p>
    <w:p w14:paraId="17672F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等价类划分算法 (Equivalence Partitioning)：</w:t>
      </w:r>
    </w:p>
    <w:p w14:paraId="32A8DA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逻辑实现：针对每个输入参数，系统自动将其划分为：有效等价类（符合需求）和无效等价类（不符合需求）。</w:t>
      </w:r>
    </w:p>
    <w:p w14:paraId="18957F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系统操作：若参数为“年龄”，范围为 </w:t>
      </w:r>
      <m:oMath>
        <m:r>
          <m:rPr/>
          <w:rPr>
            <w:rFonts w:hint="eastAsia" w:ascii="Cambria Math" w:hAnsi="Cambria Math" w:eastAsia="黑体" w:cs="黑体"/>
            <w:sz w:val="21"/>
            <w:szCs w:val="21"/>
          </w:rPr>
          <m:t>[18,60]</m:t>
        </m:r>
      </m:oMath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。算法自动生成有效点（如 </w:t>
      </w:r>
      <m:oMath>
        <m:r>
          <m:rPr/>
          <w:rPr>
            <w:rFonts w:hint="eastAsia" w:ascii="Cambria Math" w:hAnsi="Cambria Math" w:eastAsia="黑体" w:cs="黑体"/>
            <w:sz w:val="21"/>
            <w:szCs w:val="21"/>
          </w:rPr>
          <m:t>25</m:t>
        </m:r>
      </m:oMath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）及无效点（如 </w:t>
      </w:r>
      <m:oMath>
        <m:r>
          <m:rPr/>
          <w:rPr>
            <w:rFonts w:hint="eastAsia" w:ascii="Cambria Math" w:hAnsi="Cambria Math" w:eastAsia="黑体" w:cs="黑体"/>
            <w:sz w:val="21"/>
            <w:szCs w:val="21"/>
          </w:rPr>
          <m:t>10</m:t>
        </m:r>
      </m:oMath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、</w:t>
      </w:r>
      <m:oMath>
        <m:r>
          <m:rPr/>
          <w:rPr>
            <w:rFonts w:hint="eastAsia" w:ascii="Cambria Math" w:hAnsi="Cambria Math" w:eastAsia="黑体" w:cs="黑体"/>
            <w:sz w:val="21"/>
            <w:szCs w:val="21"/>
          </w:rPr>
          <m:t>70</m:t>
        </m:r>
      </m:oMath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）。</w:t>
      </w:r>
    </w:p>
    <w:p w14:paraId="23F2A8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边界值分析 (Boundary Value Analysis)：</w:t>
      </w:r>
    </w:p>
    <w:p w14:paraId="048AB7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逻辑实现：系统在 Linux 后端计算参数的临界点：</w:t>
      </w:r>
      <m:oMath>
        <m:r>
          <m:rPr/>
          <w:rPr>
            <w:rFonts w:hint="eastAsia" w:ascii="Cambria Math" w:hAnsi="Cambria Math" w:eastAsia="黑体" w:cs="黑体"/>
            <w:sz w:val="21"/>
            <w:szCs w:val="21"/>
          </w:rPr>
          <m:t>min−1,min,min+1,max−1,max,max+1</m:t>
        </m:r>
      </m:oMath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。</w:t>
      </w:r>
    </w:p>
    <w:p w14:paraId="139CBD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应用场景：针对“密码长度 8-16 位”，生成引擎强制产出长度为 </w:t>
      </w:r>
      <m:oMath>
        <m:r>
          <m:rPr/>
          <w:rPr>
            <w:rFonts w:hint="eastAsia" w:ascii="Cambria Math" w:hAnsi="Cambria Math" w:eastAsia="黑体" w:cs="黑体"/>
            <w:sz w:val="21"/>
            <w:szCs w:val="21"/>
          </w:rPr>
          <m:t>7,8,9,15,16,17</m:t>
        </m:r>
      </m:oMath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的测试向量。</w:t>
      </w:r>
    </w:p>
    <w:p w14:paraId="26B07E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因果图与判定表 (Decision Table)：</w:t>
      </w:r>
    </w:p>
    <w:p w14:paraId="17736C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逻辑实现：处理多条件组合（如：用户欠费 AND 账号锁定 -&gt; 无法登录）。</w:t>
      </w:r>
    </w:p>
    <w:p w14:paraId="3635B2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系统操作：通过真值表逻辑确保 </w:t>
      </w:r>
      <m:oMath>
        <m:sSup>
          <m:sSupPr>
            <m:ctrlPr>
              <w:rPr>
                <w:rFonts w:hint="eastAsia" w:ascii="Cambria Math" w:hAnsi="Cambria Math" w:eastAsia="黑体" w:cs="黑体"/>
                <w:b w:val="0"/>
                <w:bCs w:val="0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黑体" w:cs="黑体"/>
                <w:b w:val="0"/>
                <w:bCs w:val="0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黑体" w:cs="黑体"/>
                <w:b w:val="0"/>
                <w:bCs w:val="0"/>
                <w:sz w:val="21"/>
                <w:szCs w:val="21"/>
              </w:rPr>
            </m:ctrlPr>
          </m:sup>
        </m:sSup>
      </m:oMath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种组合路径在逻辑层被全数覆盖，避免组合爆炸或遗漏。</w:t>
      </w:r>
    </w:p>
    <w:p w14:paraId="2C57F1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2.4.2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数据自动填充引擎 (Data Synthesis Engine)</w:t>
      </w:r>
    </w:p>
    <w:p w14:paraId="35FA5F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基于上述理论模型，系统调用数据生成器（如定制化的 Faker 库或正则逆向引擎）生成真实的测试值。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3"/>
        <w:gridCol w:w="2383"/>
        <w:gridCol w:w="4340"/>
      </w:tblGrid>
      <w:tr w14:paraId="0320D86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8A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</w:pPr>
            <w:r>
              <w:rPr>
                <w:rStyle w:val="7"/>
                <w:rFonts w:hint="eastAsia" w:ascii="黑体" w:hAnsi="黑体" w:eastAsia="黑体" w:cs="黑体"/>
                <w:color w:val="1F1F1F"/>
                <w:kern w:val="0"/>
                <w:sz w:val="21"/>
                <w:szCs w:val="21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57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</w:pPr>
            <w:r>
              <w:rPr>
                <w:rStyle w:val="7"/>
                <w:rFonts w:hint="eastAsia" w:ascii="黑体" w:hAnsi="黑体" w:eastAsia="黑体" w:cs="黑体"/>
                <w:color w:val="1F1F1F"/>
                <w:kern w:val="0"/>
                <w:sz w:val="21"/>
                <w:szCs w:val="21"/>
                <w:lang w:val="en-US" w:eastAsia="zh-CN" w:bidi="ar"/>
              </w:rPr>
              <w:t>生成策略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B4F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</w:pPr>
            <w:r>
              <w:rPr>
                <w:rStyle w:val="7"/>
                <w:rFonts w:hint="eastAsia" w:ascii="黑体" w:hAnsi="黑体" w:eastAsia="黑体" w:cs="黑体"/>
                <w:color w:val="1F1F1F"/>
                <w:kern w:val="0"/>
                <w:sz w:val="21"/>
                <w:szCs w:val="21"/>
                <w:lang w:val="en-US" w:eastAsia="zh-CN" w:bidi="ar"/>
              </w:rPr>
              <w:t>示例 (针对“用户名”字段)</w:t>
            </w:r>
          </w:p>
        </w:tc>
      </w:tr>
      <w:tr w14:paraId="0580D6C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E3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合法集 (Valid Set)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B3B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1"/>
                <w:szCs w:val="21"/>
                <w:lang w:val="en-US" w:eastAsia="zh-CN" w:bidi="ar"/>
              </w:rPr>
              <w:t>满足所有约束的最简组合。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5C9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黑体" w:hAnsi="黑体" w:eastAsia="黑体" w:cs="黑体"/>
                <w:color w:val="444746"/>
                <w:kern w:val="0"/>
                <w:sz w:val="21"/>
                <w:szCs w:val="21"/>
                <w:lang w:val="en-US" w:eastAsia="zh-CN" w:bidi="ar"/>
              </w:rPr>
              <w:t>test_user_001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8"/>
                <w:rFonts w:hint="eastAsia" w:ascii="黑体" w:hAnsi="黑体" w:eastAsia="黑体" w:cs="黑体"/>
                <w:color w:val="444746"/>
                <w:kern w:val="0"/>
                <w:sz w:val="21"/>
                <w:szCs w:val="21"/>
                <w:lang w:val="en-US" w:eastAsia="zh-CN" w:bidi="ar"/>
              </w:rPr>
              <w:t>Admin_888</w:t>
            </w:r>
          </w:p>
        </w:tc>
      </w:tr>
      <w:tr w14:paraId="28129DA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810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非法集 (Invalid Set)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95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z w:val="21"/>
                <w:szCs w:val="21"/>
              </w:rPr>
              <w:t>类型错误</w:t>
            </w:r>
            <w:r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  <w:t>：数值型输入字符。</w:t>
            </w:r>
          </w:p>
          <w:p w14:paraId="70D248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</w:pPr>
          </w:p>
          <w:p w14:paraId="1672B1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z w:val="21"/>
                <w:szCs w:val="21"/>
              </w:rPr>
              <w:t>长度异常</w:t>
            </w:r>
            <w:r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  <w:t>：超出边界。</w:t>
            </w:r>
          </w:p>
          <w:p w14:paraId="321053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  <w:p w14:paraId="638DD1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z w:val="21"/>
                <w:szCs w:val="21"/>
              </w:rPr>
              <w:t>特殊符号</w:t>
            </w:r>
            <w:r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  <w:t>：注入攻击脚本、特殊 Unicode。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21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黑体" w:hAnsi="黑体" w:eastAsia="黑体" w:cs="黑体"/>
                <w:color w:val="444746"/>
                <w:kern w:val="0"/>
                <w:sz w:val="21"/>
                <w:szCs w:val="21"/>
                <w:lang w:val="en-US" w:eastAsia="zh-CN" w:bidi="ar"/>
              </w:rPr>
              <w:t>NULL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8"/>
                <w:rFonts w:hint="eastAsia" w:ascii="黑体" w:hAnsi="黑体" w:eastAsia="黑体" w:cs="黑体"/>
                <w:color w:val="444746"/>
                <w:kern w:val="0"/>
                <w:sz w:val="21"/>
                <w:szCs w:val="21"/>
                <w:lang w:val="en-US" w:eastAsia="zh-CN" w:bidi="ar"/>
              </w:rPr>
              <w:t>&lt;script&gt;alert(1)&lt;/script&gt;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8"/>
                <w:rFonts w:hint="eastAsia" w:ascii="黑体" w:hAnsi="黑体" w:eastAsia="黑体" w:cs="黑体"/>
                <w:color w:val="444746"/>
                <w:kern w:val="0"/>
                <w:sz w:val="21"/>
                <w:szCs w:val="21"/>
                <w:lang w:val="en-US" w:eastAsia="zh-CN" w:bidi="ar"/>
              </w:rPr>
              <w:t>VeryLongName...</w:t>
            </w:r>
            <w:r>
              <w:rPr>
                <w:rFonts w:hint="eastAsia" w:ascii="黑体" w:hAnsi="黑体" w:eastAsia="黑体" w:cs="黑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 (超出长度)</w:t>
            </w:r>
          </w:p>
        </w:tc>
      </w:tr>
      <w:tr w14:paraId="6BAE1A7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FDF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关联集 (Correlated)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531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1"/>
                <w:szCs w:val="21"/>
                <w:lang w:val="en-US" w:eastAsia="zh-CN" w:bidi="ar"/>
              </w:rPr>
              <w:t>根据业务逻辑生成的互斥或依赖数据。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7A1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1"/>
                <w:szCs w:val="21"/>
                <w:lang w:val="en-US" w:eastAsia="zh-CN" w:bidi="ar"/>
              </w:rPr>
              <w:t>已冻结的账户名、已存在的重复名</w:t>
            </w:r>
          </w:p>
        </w:tc>
      </w:tr>
    </w:tbl>
    <w:p w14:paraId="7F7C35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2.4.3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多维度输出规格 (Multi-dimensional Output)</w:t>
      </w:r>
    </w:p>
    <w:p w14:paraId="0D7654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系统不仅生成文本用例，还根据需求类型同步生成三类输出产物：</w:t>
      </w:r>
    </w:p>
    <w:p w14:paraId="5B3018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功能测试用例 (Functional)：</w:t>
      </w:r>
    </w:p>
    <w:p w14:paraId="5A691F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重点：详细的操作步骤、预期的 UI 响应、前置依赖环境。</w:t>
      </w:r>
    </w:p>
    <w:p w14:paraId="191D3D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格式：适配飞书多维表格/Excel 的标准字段。</w:t>
      </w:r>
    </w:p>
    <w:p w14:paraId="11B09F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接口测试用例 (API/Integration)：</w:t>
      </w:r>
    </w:p>
    <w:p w14:paraId="0C12BE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重点：自动生成 Request Payload（JSON/XML）、预期状态码（如 200 OK, 403 Forbidden）、返回值 Schema 校验规则。</w:t>
      </w:r>
    </w:p>
    <w:p w14:paraId="684B4F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兼容性：支持导出为 Postman Collection 或 JMeter 脚本片段。</w:t>
      </w:r>
    </w:p>
    <w:p w14:paraId="1554FC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性能指标场景 (Performance)：</w:t>
      </w:r>
    </w:p>
    <w:p w14:paraId="1671B2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逻辑抽取：从技术要求中提取 SLA 关键词。</w:t>
      </w:r>
    </w:p>
    <w:p w14:paraId="092C17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生成产物：定义并发用户数阈值、响应时间基准（如 </w:t>
      </w:r>
      <m:oMath>
        <m:r>
          <m:rPr/>
          <w:rPr>
            <w:rFonts w:hint="default" w:ascii="Cambria Math" w:hAnsi="Cambria Math" w:eastAsia="黑体"/>
            <w:sz w:val="21"/>
          </w:rPr>
          <m:t>RT&lt;500ms</m:t>
        </m:r>
      </m:oMath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）、资源利用率红线（CPU &gt; 80% 触发告警）。</w:t>
      </w:r>
    </w:p>
    <w:p w14:paraId="497DDF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2.4.4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系统层执行流 (System Flow)</w:t>
      </w:r>
    </w:p>
    <w:p w14:paraId="471947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在底层操作系统与服务调度上，该步骤遵循以下逻辑：</w:t>
      </w:r>
    </w:p>
    <w:p w14:paraId="62BA05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并发处理：生成引擎采用异步队列（如 Celery + Redis），支持同时处理上百条需求的用例并行生成。</w:t>
      </w:r>
    </w:p>
    <w:p w14:paraId="0BF416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持久化存储：生成的中间态 JSON 数据存入 MongoDB 或 PostgreSQL，并关联唯一的需求 ID（Requirement ID），确保版本可溯源。</w:t>
      </w:r>
    </w:p>
    <w:p w14:paraId="2FF14E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飞书 API 调用：生成完成后，系统触发 Webhook 或 Open API 调用，将数据流式写入飞书多维表格的特定 AppToken 下。</w:t>
      </w:r>
    </w:p>
    <w:p w14:paraId="34F8AB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2.4.5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输出用例示例 (逻辑层视图)</w:t>
      </w:r>
    </w:p>
    <w:p w14:paraId="6055294F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JSON</w:t>
      </w:r>
    </w:p>
    <w:p w14:paraId="01D3CCA7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</w:p>
    <w:p w14:paraId="3E3ADBC0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{</w:t>
      </w:r>
    </w:p>
    <w:p w14:paraId="3FA0DD4F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"test_case_id": "TC-USER-LOGIN-003",</w:t>
      </w:r>
    </w:p>
    <w:p w14:paraId="160D12E9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"methodology": ["Boundary Value", "Invalid Class"],</w:t>
      </w:r>
    </w:p>
    <w:p w14:paraId="3AC110C2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"test_steps": [</w:t>
      </w:r>
    </w:p>
    <w:p w14:paraId="0ED90A5E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"1. 导航至登录页面",</w:t>
      </w:r>
    </w:p>
    <w:p w14:paraId="677DF751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"2. 在密码框输入 7 位字符 (小于最小值限制)"</w:t>
      </w:r>
    </w:p>
    <w:p w14:paraId="6F1E895B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],</w:t>
      </w:r>
    </w:p>
    <w:p w14:paraId="01DB4B15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"test_data": {</w:t>
      </w:r>
    </w:p>
    <w:p w14:paraId="79EC7DFD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"password_input": "Ab1234!"</w:t>
      </w:r>
    </w:p>
    <w:p w14:paraId="56FCC3A4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},</w:t>
      </w:r>
    </w:p>
    <w:p w14:paraId="2DF2D777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"expected_result": "系统提示：密码长度不足，请输入 8-16 位字符",</w:t>
      </w:r>
    </w:p>
    <w:p w14:paraId="194507E6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"dimension": "Functional/Security"</w:t>
      </w:r>
    </w:p>
    <w:p w14:paraId="2D7C7DAF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}</w:t>
      </w:r>
    </w:p>
    <w:p w14:paraId="49ED0A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7687C4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2.5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第五步：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分发、审核与反馈闭环 (Feedback Loop)</w:t>
      </w:r>
    </w:p>
    <w:p w14:paraId="1B6F73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2.5.1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自动化分发与多平台对接 (Platform Integration)</w:t>
      </w:r>
    </w:p>
    <w:p w14:paraId="612671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系统生成的标准 JSON 逻辑将通过适配器转换为不同工具所需的物理格式。</w:t>
      </w:r>
    </w:p>
    <w:p w14:paraId="36C16D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飞书多维表格（Bitable）深度集成：</w:t>
      </w:r>
    </w:p>
    <w:p w14:paraId="47E0E1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身份认证：系统通过 Feishu Open Platform 的 App ID 和 App Secret 获取 tenant_access_token。</w:t>
      </w:r>
    </w:p>
    <w:p w14:paraId="4F2DB9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动态写入：利用飞书 API (POST /open-apis/bitable/v1/apps/:app_token/tables/:table_id/records)，将 JSON 中的字段（ID、模块、步骤、预期结果、优先级）映射到多维表格的列字段中。</w:t>
      </w:r>
    </w:p>
    <w:p w14:paraId="10F3A4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实时同步：支持“增量写入”，即需求变更后，系统自动定位飞书中的旧用例并标记为“待更新”或直接覆盖。</w:t>
      </w:r>
    </w:p>
    <w:p w14:paraId="6671A3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管理平台兼容性适配 (TestLink/禅道)：</w:t>
      </w:r>
    </w:p>
    <w:p w14:paraId="7DA427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格式转换引擎：</w:t>
      </w:r>
    </w:p>
    <w:p w14:paraId="7A0525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0" w:leftChars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TestLink：将 JSON 转换为符合 TestLink 规范的 .xml 文件（包含 &lt;testcase&gt; 标签）。</w:t>
      </w:r>
    </w:p>
    <w:p w14:paraId="3EFB9A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0" w:leftChars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禅道 (Zentao)：将 JSON 转换为特定的 .csv 或通过禅道 REST API 直接推送。</w:t>
      </w:r>
    </w:p>
    <w:p w14:paraId="4E37CF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标准化 Excel 导出：</w:t>
      </w:r>
    </w:p>
    <w:p w14:paraId="55C450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系统预设符合创新中心规范的 Excel 模板（含表头样式、下拉筛选）。用户点击“一键导出”时，系统调用 Python 的 Pandas 或 Openpyxl 库完成样式渲染并下载。</w:t>
      </w:r>
    </w:p>
    <w:p w14:paraId="54EA11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2.5.2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专业化人工审核与纠偏 (Human-in-the-loop)</w:t>
      </w:r>
    </w:p>
    <w:p w14:paraId="304DDB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提供一个直观的 Web 界面，供测试工程师对 AI 生成的内容进行最终确认。</w:t>
      </w:r>
    </w:p>
    <w:p w14:paraId="77C9DA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对比视图 (Traceability View)：</w:t>
      </w:r>
    </w:p>
    <w:p w14:paraId="321017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界面左侧显示原始需求文本，右侧显示 AI 生成的用例。系统高亮显示需求中的关键词在用例中的对应位置，确保“所见即所得”。</w:t>
      </w:r>
    </w:p>
    <w:p w14:paraId="1C0AEE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在线编辑与操作 (CRUD)：</w:t>
      </w:r>
    </w:p>
    <w:p w14:paraId="5914CE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修改：工程师可以直接修改步骤描述或预期结果。</w:t>
      </w:r>
    </w:p>
    <w:p w14:paraId="72C7D2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标记场景：工程师可以标记某条用例为“无效”或“逻辑错误”，并选择错误原因（如：幻觉、规则错误、步骤冗余）。</w:t>
      </w:r>
    </w:p>
    <w:p w14:paraId="461EC4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版本控制：</w:t>
      </w:r>
    </w:p>
    <w:p w14:paraId="2C2026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系统记录用例的“生成版本”与“人工修正版本”，支持一键回滚。</w:t>
      </w:r>
    </w:p>
    <w:p w14:paraId="07D3B5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44C03A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2.5.3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模型进化与知识补齐 (Model Evolution &amp; KG Update)</w:t>
      </w:r>
    </w:p>
    <w:p w14:paraId="460F18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这是系统的“闭环灵魂”，确保错误不再犯第二次。</w:t>
      </w:r>
    </w:p>
    <w:p w14:paraId="5C0A7E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</w:p>
    <w:p w14:paraId="20D1EB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负样本采集与清洗：</w:t>
      </w:r>
    </w:p>
    <w:p w14:paraId="136245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系统自动收集被人工判定为“错误”或经过大幅修改的用例作为负样本。</w:t>
      </w:r>
    </w:p>
    <w:p w14:paraId="11D5D5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逻辑对比分析：系统通过差分算法对比“AI 原生输出”与“人工修正结果”，提取其中的逻辑差异点。</w:t>
      </w:r>
    </w:p>
    <w:p w14:paraId="10786F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知识图谱规则补齐 (KG Self-Correction)：</w:t>
      </w:r>
    </w:p>
    <w:p w14:paraId="477D9D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若错误源于“业务规则缺失”（例如 AI 不知道某个字段的特定校验逻辑），系统会自动生成一个待确认的三元组（实体-关系-实体）。</w:t>
      </w:r>
    </w:p>
    <w:p w14:paraId="4D32D6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动作：审核通过后，该规则被写入知识图谱的“规则与约束层”，下一次生成同类需求时将强制生效。</w:t>
      </w:r>
    </w:p>
    <w:p w14:paraId="4A263F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模型微调策略 (Fine-tuning / RAG Optimization)：</w:t>
      </w:r>
    </w:p>
    <w:p w14:paraId="4528B0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Prompt 调优：系统根据负样本自动调整提示词权重（如增加“严禁生成XXX”的指令）。</w:t>
      </w:r>
    </w:p>
    <w:p w14:paraId="13DD1D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小样本微调：定期将高质量的“需求-修正后用例”对作为训练集，对 LLM 进行 LoRA 或全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量参数微调，提升模型对特定业务术语的理解精度。</w:t>
      </w:r>
    </w:p>
    <w:p w14:paraId="351663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n-US" w:eastAsia="zh-CN"/>
        </w:rPr>
        <w:t>2.5.4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闭环执行流数据结构示例 (Feedback Metadata)</w:t>
      </w:r>
    </w:p>
    <w:p w14:paraId="0DAF45E4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JSON</w:t>
      </w:r>
    </w:p>
    <w:p w14:paraId="4245819E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</w:p>
    <w:p w14:paraId="78C624A7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{</w:t>
      </w:r>
    </w:p>
    <w:p w14:paraId="0FD78ADF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"feedback_loop": {</w:t>
      </w:r>
    </w:p>
    <w:p w14:paraId="41CEE448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"original_requirement_id": "REQ-001",</w:t>
      </w:r>
    </w:p>
    <w:p w14:paraId="6A5C60DE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"case_id": "TC-001",</w:t>
      </w:r>
    </w:p>
    <w:p w14:paraId="716B8AFF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"audit_status": "Rejected",</w:t>
      </w:r>
    </w:p>
    <w:p w14:paraId="4CFBEC89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"error_type": "Boundary_Logic_Error",</w:t>
      </w:r>
    </w:p>
    <w:p w14:paraId="6B8D7DCF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"user_correction": "密码错误3次应锁定60分钟，AI误生成为30分钟",</w:t>
      </w:r>
    </w:p>
    <w:p w14:paraId="683A2369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"evolution_action": {</w:t>
      </w:r>
    </w:p>
    <w:p w14:paraId="25799EBB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"update_kg": "Modify (Login_Lock_Rule, duration, 60min)",</w:t>
      </w:r>
    </w:p>
    <w:p w14:paraId="066573F1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"prompt_tweak": "Added context for lock duration"</w:t>
      </w:r>
    </w:p>
    <w:p w14:paraId="0F0CD660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}</w:t>
      </w:r>
    </w:p>
    <w:p w14:paraId="1063F71A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}</w:t>
      </w:r>
    </w:p>
    <w:p w14:paraId="1B92C604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}</w:t>
      </w:r>
    </w:p>
    <w:p w14:paraId="2CAAAC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</w:p>
    <w:p w14:paraId="050C52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3. 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细化数据交换规范 (JSON Schema)</w:t>
      </w:r>
    </w:p>
    <w:p w14:paraId="00E074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AI 处理层向生成层输出的每一条数据必须严格遵守以下结构，以确保跨平台兼容性 ：</w:t>
      </w:r>
    </w:p>
    <w:p w14:paraId="43557778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JSON</w:t>
      </w:r>
    </w:p>
    <w:p w14:paraId="5A637A94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</w:p>
    <w:p w14:paraId="6E62F11B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{</w:t>
      </w:r>
    </w:p>
    <w:p w14:paraId="755075F5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"system_env": {</w:t>
      </w:r>
    </w:p>
    <w:p w14:paraId="45C53CBF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"os_target": "Linux/Android/iOS",</w:t>
      </w:r>
    </w:p>
    <w:p w14:paraId="6BFDCEB0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"browser_context": "Chrome 90+"</w:t>
      </w:r>
    </w:p>
    <w:p w14:paraId="668CC37B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},</w:t>
      </w:r>
    </w:p>
    <w:p w14:paraId="4701D4AC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"req_spec": {</w:t>
      </w:r>
    </w:p>
    <w:p w14:paraId="73EEAA51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"req_id": "REQ-2026-创新中心-001",</w:t>
      </w:r>
    </w:p>
    <w:p w14:paraId="14807AF7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"module_path": "用户中心/安全/登录",</w:t>
      </w:r>
    </w:p>
    <w:p w14:paraId="07F85D7A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"priority": "P0"</w:t>
      </w:r>
    </w:p>
    <w:p w14:paraId="043474FE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},</w:t>
      </w:r>
    </w:p>
    <w:p w14:paraId="001A30A0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"business_logic": {</w:t>
      </w:r>
    </w:p>
    <w:p w14:paraId="71C34C51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"action": "触发登录请求",</w:t>
      </w:r>
    </w:p>
    <w:p w14:paraId="265A7C89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"constraints": ["连续3次错误", "锁定60分钟"],</w:t>
      </w:r>
    </w:p>
    <w:p w14:paraId="2280D11F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"extended_scenarios": ["忘记密码路径", "第三方登录劫持"]</w:t>
      </w:r>
    </w:p>
    <w:p w14:paraId="787292A9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},</w:t>
      </w:r>
    </w:p>
    <w:p w14:paraId="59CD60B8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"test_instruction": {</w:t>
      </w:r>
    </w:p>
    <w:p w14:paraId="67CF9654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"pre_condition": "用户已注册且账号处于正常状态",</w:t>
      </w:r>
    </w:p>
    <w:p w14:paraId="32E3DFC1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"steps": [</w:t>
      </w:r>
    </w:p>
    <w:p w14:paraId="0A901EE3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"1. 打开登录页面",</w:t>
      </w:r>
    </w:p>
    <w:p w14:paraId="7DEFEE1B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"2. 输入已存在的账号",</w:t>
      </w:r>
    </w:p>
    <w:p w14:paraId="05F33C88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"3. 连续输入3次错误的密码",</w:t>
      </w:r>
    </w:p>
    <w:p w14:paraId="0BB9E67A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"4. 点击登录按钮"</w:t>
      </w:r>
    </w:p>
    <w:p w14:paraId="6374FEB5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],</w:t>
      </w:r>
    </w:p>
    <w:p w14:paraId="1F3BEAB5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"expected_result": "系统弹出账户锁定提示，账户状态更新为'Locked'，锁定时长60分钟",</w:t>
      </w:r>
    </w:p>
    <w:p w14:paraId="57AA56C3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"test_data_sets": {</w:t>
      </w:r>
    </w:p>
    <w:p w14:paraId="7719BF23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"valid": {"user": "admin", "pwd": "correct_password"},</w:t>
      </w:r>
    </w:p>
    <w:p w14:paraId="44451420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"invalid": {"user": "admin", "pwd": ["wrong1", "wrong2", "wrong3"]}</w:t>
      </w:r>
    </w:p>
    <w:p w14:paraId="388D3ED7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}</w:t>
      </w:r>
    </w:p>
    <w:p w14:paraId="3FC31CB7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}</w:t>
      </w:r>
    </w:p>
    <w:p w14:paraId="6C14CB4D">
      <w:pPr>
        <w:pStyle w:val="9"/>
        <w:bidi w:val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}</w:t>
      </w:r>
    </w:p>
    <w:p w14:paraId="465FAA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</w:p>
    <w:p w14:paraId="550150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4. 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实施阶段计划 (8周周期)</w:t>
      </w:r>
    </w:p>
    <w:p w14:paraId="233CF0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T+2周 (设计期)：完成业务需求调研，产出详细设计文档及底层 OS 架构图 。</w:t>
      </w:r>
    </w:p>
    <w:p w14:paraId="1181F3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T+6周 (开发期)：构建测试领域知识图谱（三层建模），完成 AI 核心功能模块开发 。</w:t>
      </w:r>
    </w:p>
    <w:p w14:paraId="5BF0CD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T+8周 (优化期)：选取 2-3 个核心业务模块进行试点，基于反馈优化 Prompt 与模型精度 。</w:t>
      </w:r>
    </w:p>
    <w:p w14:paraId="72E89B9E">
      <w:pPr>
        <w:rPr>
          <w:rFonts w:hint="eastAsia" w:ascii="黑体" w:hAnsi="黑体" w:eastAsia="黑体" w:cs="黑体"/>
          <w:b w:val="0"/>
          <w:bCs w:val="0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47040"/>
    <w:rsid w:val="04714B20"/>
    <w:rsid w:val="0DFB11C4"/>
    <w:rsid w:val="104F3893"/>
    <w:rsid w:val="21725D08"/>
    <w:rsid w:val="38F35529"/>
    <w:rsid w:val="3F2C3542"/>
    <w:rsid w:val="44894F93"/>
    <w:rsid w:val="5E023994"/>
    <w:rsid w:val="699833FF"/>
    <w:rsid w:val="7B2A4C05"/>
    <w:rsid w:val="7F51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  <w:style w:type="paragraph" w:customStyle="1" w:styleId="9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0">
    <w:name w:val="页眉 字符"/>
    <w:basedOn w:val="6"/>
    <w:link w:val="3"/>
    <w:qFormat/>
    <w:uiPriority w:val="0"/>
    <w:rPr>
      <w:sz w:val="18"/>
      <w:szCs w:val="18"/>
    </w:rPr>
  </w:style>
  <w:style w:type="character" w:customStyle="1" w:styleId="11">
    <w:name w:val="页脚 字符"/>
    <w:basedOn w:val="6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3464</Words>
  <Characters>4785</Characters>
  <Lines>0</Lines>
  <Paragraphs>0</Paragraphs>
  <TotalTime>17</TotalTime>
  <ScaleCrop>false</ScaleCrop>
  <LinksUpToDate>false</LinksUpToDate>
  <CharactersWithSpaces>5216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2026-01-28T05:50:00Z</dcterms:created>
  <dc:creator>ruoshui</dc:creator>
  <cp:lastModifiedBy>黄智刚</cp:lastModifiedBy>
  <dcterms:modified xsi:type="dcterms:W3CDTF">2026-01-28T08:15:51Z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eyJoZGlkIjoiZWNjMDAzZTM3NGYzOWMxMTY1YzEzODg4NzIxMDA0ODEiLCJ1c2VySWQiOiIxNjc0MTI5NjMwIn0=</vt:lpwstr>
  </property>
  <property fmtid="{D5CDD505-2E9C-101B-9397-08002B2CF9AE}" pid="4" name="ICV">
    <vt:lpwstr>3F8C75543E264B1780D171C9245E89E0_12</vt:lpwstr>
  </property>
</Properties>
</file>