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在线书店系统 - 购物车与结算模块需求说明书</w:t>
      </w:r>
    </w:p>
    <w:p>
      <w:pPr>
        <w:pStyle w:val="Heading1"/>
      </w:pPr>
      <w:r>
        <w:t>1. 概述</w:t>
      </w:r>
    </w:p>
    <w:p>
      <w:r>
        <w:t>本模块主要负责用户的商品加购、购物车管理、优惠券应用及最终订单结算功能。</w:t>
      </w:r>
    </w:p>
    <w:p>
      <w:pPr>
        <w:pStyle w:val="Heading1"/>
      </w:pPr>
      <w:r>
        <w:t>2. 详细功能需求</w:t>
      </w:r>
    </w:p>
    <w:p>
      <w:pPr>
        <w:pStyle w:val="Heading2"/>
      </w:pPr>
      <w:r>
        <w:t>2.1 添加购物车</w:t>
      </w:r>
    </w:p>
    <w:p>
      <w:r>
        <w:rPr>
          <w:b/>
        </w:rPr>
        <w:t>功能描述：</w:t>
      </w:r>
      <w:r>
        <w:t xml:space="preserve"> 用户在商品详情页点击“加入购物车”。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规则项</w:t>
            </w:r>
          </w:p>
        </w:tc>
        <w:tc>
          <w:tcPr>
            <w:tcW w:type="dxa" w:w="2880"/>
          </w:tcPr>
          <w:p>
            <w:r>
              <w:t>规则描述</w:t>
            </w:r>
          </w:p>
        </w:tc>
        <w:tc>
          <w:tcPr>
            <w:tcW w:type="dxa" w:w="2880"/>
          </w:tcPr>
          <w:p>
            <w:r>
              <w:t>预期反馈</w:t>
            </w:r>
          </w:p>
        </w:tc>
      </w:tr>
      <w:tr>
        <w:tc>
          <w:tcPr>
            <w:tcW w:type="dxa" w:w="2880"/>
          </w:tcPr>
          <w:p>
            <w:r>
              <w:t>库存检查</w:t>
            </w:r>
          </w:p>
        </w:tc>
        <w:tc>
          <w:tcPr>
            <w:tcW w:type="dxa" w:w="2880"/>
          </w:tcPr>
          <w:p>
            <w:r>
              <w:t>若商品库存不足</w:t>
            </w:r>
          </w:p>
        </w:tc>
        <w:tc>
          <w:tcPr>
            <w:tcW w:type="dxa" w:w="2880"/>
          </w:tcPr>
          <w:p>
            <w:r>
              <w:t>提示“库存不足”，禁止加入</w:t>
            </w:r>
          </w:p>
        </w:tc>
      </w:tr>
      <w:tr>
        <w:tc>
          <w:tcPr>
            <w:tcW w:type="dxa" w:w="2880"/>
          </w:tcPr>
          <w:p>
            <w:r>
              <w:t>限购检查</w:t>
            </w:r>
          </w:p>
        </w:tc>
        <w:tc>
          <w:tcPr>
            <w:tcW w:type="dxa" w:w="2880"/>
          </w:tcPr>
          <w:p>
            <w:r>
              <w:t>若商品属于限购商品（每人限购2件）且购物车内已存在2件</w:t>
            </w:r>
          </w:p>
        </w:tc>
        <w:tc>
          <w:tcPr>
            <w:tcW w:type="dxa" w:w="2880"/>
          </w:tcPr>
          <w:p>
            <w:r>
              <w:t>提示“已达限购数量”</w:t>
            </w:r>
          </w:p>
        </w:tc>
      </w:tr>
      <w:tr>
        <w:tc>
          <w:tcPr>
            <w:tcW w:type="dxa" w:w="2880"/>
          </w:tcPr>
          <w:p>
            <w:r>
              <w:t>数量限制</w:t>
            </w:r>
          </w:p>
        </w:tc>
        <w:tc>
          <w:tcPr>
            <w:tcW w:type="dxa" w:w="2880"/>
          </w:tcPr>
          <w:p>
            <w:r>
              <w:t>单次添加数量必须 &gt; 0 且 &lt;= 99</w:t>
            </w:r>
          </w:p>
        </w:tc>
        <w:tc>
          <w:tcPr>
            <w:tcW w:type="dxa" w:w="2880"/>
          </w:tcPr>
          <w:p>
            <w:r>
              <w:t>输入非法数字时自动重置为1或99</w:t>
            </w:r>
          </w:p>
        </w:tc>
      </w:tr>
      <w:tr>
        <w:tc>
          <w:tcPr>
            <w:tcW w:type="dxa" w:w="2880"/>
          </w:tcPr>
          <w:p>
            <w:r>
              <w:t>重复添加</w:t>
            </w:r>
          </w:p>
        </w:tc>
        <w:tc>
          <w:tcPr>
            <w:tcW w:type="dxa" w:w="2880"/>
          </w:tcPr>
          <w:p>
            <w:r>
              <w:t>若购物车已存在该商品</w:t>
            </w:r>
          </w:p>
        </w:tc>
        <w:tc>
          <w:tcPr>
            <w:tcW w:type="dxa" w:w="2880"/>
          </w:tcPr>
          <w:p>
            <w:r>
              <w:t>数量累加，不新增记录</w:t>
            </w:r>
          </w:p>
        </w:tc>
      </w:tr>
    </w:tbl>
    <w:p>
      <w:pPr>
        <w:pStyle w:val="Heading2"/>
      </w:pPr>
      <w:r>
        <w:t>2.2 优惠券应用</w:t>
      </w:r>
    </w:p>
    <w:p>
      <w:r>
        <w:t>用户在结算页选择优惠券，系统自动计算抵扣金额。</w:t>
      </w:r>
    </w:p>
    <w:p>
      <w:pPr>
        <w:pStyle w:val="ListBullet"/>
      </w:pPr>
      <w:r>
        <w:rPr>
          <w:b/>
        </w:rPr>
        <w:t>满减券：</w:t>
      </w:r>
      <w:r>
        <w:t xml:space="preserve"> 订单金额满 100 减 10。若应用后订单金额 &lt; 0，则实付金额为 0（虽然逻辑上不太可能，但需校验）。</w:t>
      </w:r>
    </w:p>
    <w:p>
      <w:pPr>
        <w:pStyle w:val="ListBullet"/>
      </w:pPr>
      <w:r>
        <w:rPr>
          <w:b/>
        </w:rPr>
        <w:t>有效期校验：</w:t>
      </w:r>
      <w:r>
        <w:t xml:space="preserve"> 只能选择当前时间在 [生效时间, 过期时间] 范围内的优惠券。</w:t>
      </w:r>
    </w:p>
    <w:p>
      <w:pPr>
        <w:pStyle w:val="ListBullet"/>
      </w:pPr>
      <w:r>
        <w:rPr>
          <w:b/>
        </w:rPr>
        <w:t>互斥规则：</w:t>
      </w:r>
      <w:r>
        <w:t xml:space="preserve"> “满减券”与“折扣券”不可叠加使用。</w:t>
      </w:r>
    </w:p>
    <w:p>
      <w:pPr>
        <w:pStyle w:val="Heading2"/>
      </w:pPr>
      <w:r>
        <w:t>2.3 提交订单</w:t>
      </w:r>
    </w:p>
    <w:p>
      <w:r>
        <w:t>提交订单时需进行最终校验：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校验点</w:t>
            </w:r>
          </w:p>
        </w:tc>
        <w:tc>
          <w:tcPr>
            <w:tcW w:type="dxa" w:w="4320"/>
          </w:tcPr>
          <w:p>
            <w:r>
              <w:t>逻辑</w:t>
            </w:r>
          </w:p>
        </w:tc>
      </w:tr>
      <w:tr>
        <w:tc>
          <w:tcPr>
            <w:tcW w:type="dxa" w:w="4320"/>
          </w:tcPr>
          <w:p>
            <w:r>
              <w:t>收货地址</w:t>
            </w:r>
          </w:p>
        </w:tc>
        <w:tc>
          <w:tcPr>
            <w:tcW w:type="dxa" w:w="4320"/>
          </w:tcPr>
          <w:p>
            <w:r>
              <w:t>地址ID必须有效且属于当前用户</w:t>
            </w:r>
          </w:p>
        </w:tc>
      </w:tr>
      <w:tr>
        <w:tc>
          <w:tcPr>
            <w:tcW w:type="dxa" w:w="4320"/>
          </w:tcPr>
          <w:p>
            <w:r>
              <w:t>价格变动</w:t>
            </w:r>
          </w:p>
        </w:tc>
        <w:tc>
          <w:tcPr>
            <w:tcW w:type="dxa" w:w="4320"/>
          </w:tcPr>
          <w:p>
            <w:r>
              <w:t>若结算时商品价格发生变动（与加购时不一致），提示用户并刷新价格</w:t>
            </w:r>
          </w:p>
        </w:tc>
      </w:tr>
      <w:tr>
        <w:tc>
          <w:tcPr>
            <w:tcW w:type="dxa" w:w="4320"/>
          </w:tcPr>
          <w:p>
            <w:r>
              <w:t>库存扣减</w:t>
            </w:r>
          </w:p>
        </w:tc>
        <w:tc>
          <w:tcPr>
            <w:tcW w:type="dxa" w:w="4320"/>
          </w:tcPr>
          <w:p>
            <w:r>
              <w:t>提交成功后，预扣减数据库库存；若扣减失败则回滚事务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