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黑体"/>
          <w:b/>
          <w:sz w:val="44"/>
        </w:rPr>
        <w:t>CLSCI期刊2025年泛刑法研究态势报告</w:t>
      </w:r>
    </w:p>
    <w:p>
      <w:pPr>
        <w:jc w:val="center"/>
      </w:pPr>
      <w:r>
        <w:rPr>
          <w:rFonts w:eastAsia="楷体"/>
          <w:sz w:val="28"/>
        </w:rPr>
        <w:t>——基于NLP文本挖掘与1581篇论文的数据驱动分析</w:t>
      </w:r>
    </w:p>
    <w:p/>
    <w:p>
      <w:pPr>
        <w:jc w:val="center"/>
      </w:pPr>
      <w:r>
        <w:rPr>
          <w:rFonts w:eastAsia="黑体"/>
          <w:b/>
          <w:sz w:val="28"/>
        </w:rPr>
        <w:t>摘  要</w:t>
      </w:r>
    </w:p>
    <w:p>
      <w:pPr>
        <w:ind w:firstLine="420"/>
      </w:pPr>
      <w:r>
        <w:t>本报告以北大法宝（PKULaw）数据库为数据来源，对2025年度20种CLSCI（中国法学核心科学研究来源期刊）共计1581篇学术论文进行全面采集，并从中筛选出395篇泛刑法相关文章（含刑法学、刑事诉讼法学、犯罪学及刑事政策等），占全部文章的25.0%。报告在逐篇采集摘要（采集率99.0%）与可得全文预览（覆盖率83.8%）的基础上，运用jieba中文分词、TF-IDF关键词提取、NMF非负矩阵分解主题建模、关键词共现网络分析等自然语言处理技术，结合期刊横向比较与研究方法论检测，系统梳理了2025年度CLSCI期刊泛刑法研究的总体规模、学科分布、热点专题、方法论特征与选题趋势。研究发现，轻罪治理、刑法基础理论、经济刑法与反腐败、行刑衔接、人工智能与数据犯罪构成本年度五大核心热点；从摘要和章节标题中可检出实证研究（40篇）和比较法（20篇）等多元方法的运用；刑事诉讼法第四次修改的讨论推动了程序法议题的集中爆发。报告最后基于2025年度范文的写作策略分析，为研究者提供选题方向与写作方法论建议。</w:t>
      </w:r>
    </w:p>
    <w:p>
      <w:r>
        <w:br w:type="page"/>
      </w:r>
    </w:p>
    <w:p>
      <w:pPr>
        <w:pStyle w:val="Heading1"/>
      </w:pPr>
      <w:r>
        <w:t>一、引言</w:t>
      </w:r>
    </w:p>
    <w:p>
      <w:pPr>
        <w:ind w:firstLine="420"/>
      </w:pPr>
      <w:r>
        <w:t>CLSCI（中国法学核心科学研究来源期刊）是衡量中国法学研究产出质量的核心指标之一。每年度CLSCI期刊发表的学术论文不仅反映了法学各学科的研究前沿，更是学术评价、人才考核和学科建设的重要参照。对于刑法学界而言，系统把握CLSCI期刊中泛刑法研究的总体态势、热点分布与发展趋势，具有重要的学术参考价值与实践指导意义。</w:t>
      </w:r>
    </w:p>
    <w:p>
      <w:pPr>
        <w:ind w:firstLine="420"/>
      </w:pPr>
      <w:r>
        <w:t>本报告的数据基础来自对2025年度20种CLSCI来源期刊的全面采集。数据采集时间为2026年2月，涵盖各期刊2025年已出版的全部期次。采集范围包括：《中国社会科学》《中国法学》《法学研究》《中外法学》《法学家》《清华法学》《政法论坛》《法学评论》《法商研究》《现代法学》《当代法学》《法制与社会发展》《法学论坛》《政治与法律》《环球法律评论》《华东政法大学学报》《法律科学》《法学》《中国法律评论》《中国刑事法杂志》共20种期刊，合计采集文章1581篇。</w:t>
      </w:r>
    </w:p>
    <w:p>
      <w:pPr>
        <w:ind w:firstLine="420"/>
      </w:pPr>
      <w:r>
        <w:t>与既往研究多依赖标题关键词匹配不同，本报告的创新之处在于：第一，充分利用摘要文本和全文预览数据，通过TF-IDF算法提取深层关键词，发现标题中不明显但在摘要和正文中高频出现的研究主题；第二，采用NMF主题建模技术进行数据驱动的主题聚类，避免人工预设分类的主观偏差；第三，构建关键词共现网络，揭示不同子领域之间的知识桥梁与交叉关系；第四，系统检测研究方法论分布，用数据验证“教义学与实证融合”等趋势判断。</w:t>
      </w:r>
    </w:p>
    <w:p>
      <w:pPr>
        <w:pStyle w:val="Heading1"/>
      </w:pPr>
      <w:r>
        <w:t>二、数据来源与研究方法</w:t>
      </w:r>
    </w:p>
    <w:p>
      <w:pPr>
        <w:pStyle w:val="Heading2"/>
      </w:pPr>
      <w:r>
        <w:t>（一）数据来源与采集</w:t>
      </w:r>
    </w:p>
    <w:p>
      <w:pPr>
        <w:ind w:firstLine="420"/>
      </w:pPr>
      <w:r>
        <w:t>本报告的数据来源为北大法宝（PKULaw）数据库。采集对象为2025年度20种CLSCI来源期刊已出版的全部期次，共计1581篇学术论文。泛刑法相关文章的筛选标准为：标题含刑法、刑事诉讼、犯罪、证据（刑事方向）、侦查、监察、行刑衔接等相关关键词，并经人工复核排除误判，最终确认395篇。对每篇文章采集字段包括：标题、期刊、期号、页码、作者、摘要（中英文）、关键词、目录、全文预览等。其中，391篇具有中文摘要（99.0%），331篇具有全文预览（83.8%）。</w:t>
      </w:r>
    </w:p>
    <w:p>
      <w:pPr>
        <w:pStyle w:val="Heading2"/>
      </w:pPr>
      <w:r>
        <w:t>（二）研究方法</w:t>
      </w:r>
    </w:p>
    <w:p>
      <w:pPr>
        <w:ind w:firstLine="420"/>
      </w:pPr>
      <w:r>
        <w:t>本报告采用以下自然语言处理与统计分析方法：</w:t>
      </w:r>
    </w:p>
    <w:p>
      <w:pPr>
        <w:ind w:firstLine="420"/>
      </w:pPr>
      <w:r>
        <w:rPr>
          <w:b/>
        </w:rPr>
        <w:t>1. 文本预处理：</w:t>
      </w:r>
      <w:r>
        <w:t>使用jieba中文分词工具，并加载包含84个专业术语的自定义法律词典，确保法益、帮信罪、认罪认罚从宽等复合术语被正确切分。对全文预览进行清洗，截断页脚噪声和截断标记。</w:t>
      </w:r>
    </w:p>
    <w:p>
      <w:pPr>
        <w:ind w:firstLine="420"/>
      </w:pPr>
      <w:r>
        <w:rPr>
          <w:b/>
        </w:rPr>
        <w:t>2. TF-IDF关键词提取：</w:t>
      </w:r>
      <w:r>
        <w:t>基于标题、摘要和清洗后全文的合并文本，计算词频-逆文档频率（TF-IDF）权重，提取全局和文档级别的高权重关键词，用于词云生成和共现分析。</w:t>
      </w:r>
    </w:p>
    <w:p>
      <w:pPr>
        <w:ind w:firstLine="420"/>
      </w:pPr>
      <w:r>
        <w:rPr>
          <w:b/>
        </w:rPr>
        <w:t>3. NMF主题建模：</w:t>
      </w:r>
      <w:r>
        <w:t>在TF-IDF矩阵基础上，使用非负矩阵分解（NMF）算法将395篇文章聚类为15个主题，每个主题由一组高权重关键词表征。相比LDA，NMF在短文本和法律语料上通常表现更优。</w:t>
      </w:r>
    </w:p>
    <w:p>
      <w:pPr>
        <w:ind w:firstLine="420"/>
      </w:pPr>
      <w:r>
        <w:rPr>
          <w:b/>
        </w:rPr>
        <w:t>4. 关键词共现网络：</w:t>
      </w:r>
      <w:r>
        <w:t>对每篇文章提取TF-IDF权重最高的关键词，统计关键词在同一文章中共同出现的频次，构建共现网络并可视化，揭示研究议题之间的关联结构。</w:t>
      </w:r>
    </w:p>
    <w:p>
      <w:pPr>
        <w:ind w:firstLine="420"/>
      </w:pPr>
      <w:r>
        <w:rPr>
          <w:b/>
        </w:rPr>
        <w:t>5. 研究方法论检测：</w:t>
      </w:r>
      <w:r>
        <w:t>通过扫描摘要中的方法论句式（如"以XX份裁判文书为样本""从比较法视角"等）和全文预览中的章节标题（如"实证分析""域外考察"等），提取每篇文章的研究方法论信息。</w:t>
      </w:r>
    </w:p>
    <w:p>
      <w:pPr>
        <w:pStyle w:val="Heading1"/>
      </w:pPr>
      <w:r>
        <w:t>三、总体概览：规模、结构与分布</w:t>
      </w:r>
    </w:p>
    <w:p>
      <w:pPr>
        <w:pStyle w:val="Heading2"/>
      </w:pPr>
      <w:r>
        <w:t>（一）总量与占比</w:t>
      </w:r>
    </w:p>
    <w:p>
      <w:pPr>
        <w:ind w:firstLine="420"/>
      </w:pPr>
      <w:r>
        <w:t>2025年度20种CLSCI期刊共发表学术论文1581篇。其中，泛刑法相关文章395篇，占比25.0%。这一比例在法学各二级学科中处于较高水平，表明刑法学（含刑事诉讼法学）始终是CLSCI期刊的核心议题领域。值得注意的是，395篇泛刑法文章中，391篇具有完整摘要（99.0%），331篇具有正文预览（83.8%），为深度文本分析提供了可靠的数据基础。</w:t>
      </w:r>
    </w:p>
    <w:p>
      <w:pPr>
        <w:pStyle w:val="Heading2"/>
      </w:pPr>
      <w:r>
        <w:t>（二）期刊分布</w:t>
      </w:r>
    </w:p>
    <w:p>
      <w:pPr>
        <w:ind w:firstLine="420"/>
      </w:pPr>
      <w:r>
        <w:t>各期刊刊发泛刑法文章的数量和比例存在显著差异。</w:t>
      </w:r>
    </w:p>
    <w:p>
      <w:pPr>
        <w:jc w:val="center"/>
      </w:pPr>
      <w:r>
        <w:drawing>
          <wp:inline xmlns:a="http://schemas.openxmlformats.org/drawingml/2006/main" xmlns:pic="http://schemas.openxmlformats.org/drawingml/2006/picture">
            <wp:extent cx="5303520" cy="335258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352582"/>
                    </a:xfrm>
                    <a:prstGeom prst="rect"/>
                  </pic:spPr>
                </pic:pic>
              </a:graphicData>
            </a:graphic>
          </wp:inline>
        </w:drawing>
      </w:r>
    </w:p>
    <w:p>
      <w:pPr>
        <w:jc w:val="center"/>
      </w:pPr>
      <w:r>
        <w:rPr>
          <w:b/>
          <w:sz w:val="20"/>
        </w:rPr>
        <w:t>图1  各CLSCI期刊发文量与泛刑法文章占比</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sz w:val="18"/>
              </w:rPr>
              <w:t>期刊名称</w:t>
            </w:r>
          </w:p>
        </w:tc>
        <w:tc>
          <w:tcPr>
            <w:tcW w:type="dxa" w:w="2160"/>
          </w:tcPr>
          <w:p>
            <w:pPr>
              <w:jc w:val="center"/>
            </w:pPr>
            <w:r>
              <w:rPr>
                <w:sz w:val="18"/>
              </w:rPr>
              <w:t>总发文量</w:t>
            </w:r>
          </w:p>
        </w:tc>
        <w:tc>
          <w:tcPr>
            <w:tcW w:type="dxa" w:w="2160"/>
          </w:tcPr>
          <w:p>
            <w:pPr>
              <w:jc w:val="center"/>
            </w:pPr>
            <w:r>
              <w:rPr>
                <w:sz w:val="18"/>
              </w:rPr>
              <w:t>泛刑法文章数</w:t>
            </w:r>
          </w:p>
        </w:tc>
        <w:tc>
          <w:tcPr>
            <w:tcW w:type="dxa" w:w="2160"/>
          </w:tcPr>
          <w:p>
            <w:pPr>
              <w:jc w:val="center"/>
            </w:pPr>
            <w:r>
              <w:rPr>
                <w:sz w:val="18"/>
              </w:rPr>
              <w:t>占比</w:t>
            </w:r>
          </w:p>
        </w:tc>
      </w:tr>
      <w:tr>
        <w:tc>
          <w:tcPr>
            <w:tcW w:type="dxa" w:w="2160"/>
          </w:tcPr>
          <w:p>
            <w:pPr>
              <w:jc w:val="center"/>
            </w:pPr>
            <w:r>
              <w:rPr>
                <w:sz w:val="18"/>
              </w:rPr>
              <w:t>中国刑事法杂志</w:t>
            </w:r>
          </w:p>
        </w:tc>
        <w:tc>
          <w:tcPr>
            <w:tcW w:type="dxa" w:w="2160"/>
          </w:tcPr>
          <w:p>
            <w:pPr>
              <w:jc w:val="center"/>
            </w:pPr>
            <w:r>
              <w:rPr>
                <w:sz w:val="18"/>
              </w:rPr>
              <w:t>46</w:t>
            </w:r>
          </w:p>
        </w:tc>
        <w:tc>
          <w:tcPr>
            <w:tcW w:type="dxa" w:w="2160"/>
          </w:tcPr>
          <w:p>
            <w:pPr>
              <w:jc w:val="center"/>
            </w:pPr>
            <w:r>
              <w:rPr>
                <w:sz w:val="18"/>
              </w:rPr>
              <w:t>46</w:t>
            </w:r>
          </w:p>
        </w:tc>
        <w:tc>
          <w:tcPr>
            <w:tcW w:type="dxa" w:w="2160"/>
          </w:tcPr>
          <w:p>
            <w:pPr>
              <w:jc w:val="center"/>
            </w:pPr>
            <w:r>
              <w:rPr>
                <w:sz w:val="18"/>
              </w:rPr>
              <w:t>100.0%</w:t>
            </w:r>
          </w:p>
        </w:tc>
      </w:tr>
      <w:tr>
        <w:tc>
          <w:tcPr>
            <w:tcW w:type="dxa" w:w="2160"/>
          </w:tcPr>
          <w:p>
            <w:pPr>
              <w:jc w:val="center"/>
            </w:pPr>
            <w:r>
              <w:rPr>
                <w:sz w:val="18"/>
              </w:rPr>
              <w:t>清华法学</w:t>
            </w:r>
          </w:p>
        </w:tc>
        <w:tc>
          <w:tcPr>
            <w:tcW w:type="dxa" w:w="2160"/>
          </w:tcPr>
          <w:p>
            <w:pPr>
              <w:jc w:val="center"/>
            </w:pPr>
            <w:r>
              <w:rPr>
                <w:sz w:val="18"/>
              </w:rPr>
              <w:t>68</w:t>
            </w:r>
          </w:p>
        </w:tc>
        <w:tc>
          <w:tcPr>
            <w:tcW w:type="dxa" w:w="2160"/>
          </w:tcPr>
          <w:p>
            <w:pPr>
              <w:jc w:val="center"/>
            </w:pPr>
            <w:r>
              <w:rPr>
                <w:sz w:val="18"/>
              </w:rPr>
              <w:t>33</w:t>
            </w:r>
          </w:p>
        </w:tc>
        <w:tc>
          <w:tcPr>
            <w:tcW w:type="dxa" w:w="2160"/>
          </w:tcPr>
          <w:p>
            <w:pPr>
              <w:jc w:val="center"/>
            </w:pPr>
            <w:r>
              <w:rPr>
                <w:sz w:val="18"/>
              </w:rPr>
              <w:t>48.5%</w:t>
            </w:r>
          </w:p>
        </w:tc>
      </w:tr>
      <w:tr>
        <w:tc>
          <w:tcPr>
            <w:tcW w:type="dxa" w:w="2160"/>
          </w:tcPr>
          <w:p>
            <w:pPr>
              <w:jc w:val="center"/>
            </w:pPr>
            <w:r>
              <w:rPr>
                <w:sz w:val="18"/>
              </w:rPr>
              <w:t>法学论坛</w:t>
            </w:r>
          </w:p>
        </w:tc>
        <w:tc>
          <w:tcPr>
            <w:tcW w:type="dxa" w:w="2160"/>
          </w:tcPr>
          <w:p>
            <w:pPr>
              <w:jc w:val="center"/>
            </w:pPr>
            <w:r>
              <w:rPr>
                <w:sz w:val="18"/>
              </w:rPr>
              <w:t>82</w:t>
            </w:r>
          </w:p>
        </w:tc>
        <w:tc>
          <w:tcPr>
            <w:tcW w:type="dxa" w:w="2160"/>
          </w:tcPr>
          <w:p>
            <w:pPr>
              <w:jc w:val="center"/>
            </w:pPr>
            <w:r>
              <w:rPr>
                <w:sz w:val="18"/>
              </w:rPr>
              <w:t>27</w:t>
            </w:r>
          </w:p>
        </w:tc>
        <w:tc>
          <w:tcPr>
            <w:tcW w:type="dxa" w:w="2160"/>
          </w:tcPr>
          <w:p>
            <w:pPr>
              <w:jc w:val="center"/>
            </w:pPr>
            <w:r>
              <w:rPr>
                <w:sz w:val="18"/>
              </w:rPr>
              <w:t>32.9%</w:t>
            </w:r>
          </w:p>
        </w:tc>
      </w:tr>
      <w:tr>
        <w:tc>
          <w:tcPr>
            <w:tcW w:type="dxa" w:w="2160"/>
          </w:tcPr>
          <w:p>
            <w:pPr>
              <w:jc w:val="center"/>
            </w:pPr>
            <w:r>
              <w:rPr>
                <w:sz w:val="18"/>
              </w:rPr>
              <w:t>中外法学</w:t>
            </w:r>
          </w:p>
        </w:tc>
        <w:tc>
          <w:tcPr>
            <w:tcW w:type="dxa" w:w="2160"/>
          </w:tcPr>
          <w:p>
            <w:pPr>
              <w:jc w:val="center"/>
            </w:pPr>
            <w:r>
              <w:rPr>
                <w:sz w:val="18"/>
              </w:rPr>
              <w:t>80</w:t>
            </w:r>
          </w:p>
        </w:tc>
        <w:tc>
          <w:tcPr>
            <w:tcW w:type="dxa" w:w="2160"/>
          </w:tcPr>
          <w:p>
            <w:pPr>
              <w:jc w:val="center"/>
            </w:pPr>
            <w:r>
              <w:rPr>
                <w:sz w:val="18"/>
              </w:rPr>
              <w:t>23</w:t>
            </w:r>
          </w:p>
        </w:tc>
        <w:tc>
          <w:tcPr>
            <w:tcW w:type="dxa" w:w="2160"/>
          </w:tcPr>
          <w:p>
            <w:pPr>
              <w:jc w:val="center"/>
            </w:pPr>
            <w:r>
              <w:rPr>
                <w:sz w:val="18"/>
              </w:rPr>
              <w:t>28.8%</w:t>
            </w:r>
          </w:p>
        </w:tc>
      </w:tr>
      <w:tr>
        <w:tc>
          <w:tcPr>
            <w:tcW w:type="dxa" w:w="2160"/>
          </w:tcPr>
          <w:p>
            <w:pPr>
              <w:jc w:val="center"/>
            </w:pPr>
            <w:r>
              <w:rPr>
                <w:sz w:val="18"/>
              </w:rPr>
              <w:t>政法论坛</w:t>
            </w:r>
          </w:p>
        </w:tc>
        <w:tc>
          <w:tcPr>
            <w:tcW w:type="dxa" w:w="2160"/>
          </w:tcPr>
          <w:p>
            <w:pPr>
              <w:jc w:val="center"/>
            </w:pPr>
            <w:r>
              <w:rPr>
                <w:sz w:val="18"/>
              </w:rPr>
              <w:t>78</w:t>
            </w:r>
          </w:p>
        </w:tc>
        <w:tc>
          <w:tcPr>
            <w:tcW w:type="dxa" w:w="2160"/>
          </w:tcPr>
          <w:p>
            <w:pPr>
              <w:jc w:val="center"/>
            </w:pPr>
            <w:r>
              <w:rPr>
                <w:sz w:val="18"/>
              </w:rPr>
              <w:t>22</w:t>
            </w:r>
          </w:p>
        </w:tc>
        <w:tc>
          <w:tcPr>
            <w:tcW w:type="dxa" w:w="2160"/>
          </w:tcPr>
          <w:p>
            <w:pPr>
              <w:jc w:val="center"/>
            </w:pPr>
            <w:r>
              <w:rPr>
                <w:sz w:val="18"/>
              </w:rPr>
              <w:t>28.2%</w:t>
            </w:r>
          </w:p>
        </w:tc>
      </w:tr>
      <w:tr>
        <w:tc>
          <w:tcPr>
            <w:tcW w:type="dxa" w:w="2160"/>
          </w:tcPr>
          <w:p>
            <w:pPr>
              <w:jc w:val="center"/>
            </w:pPr>
            <w:r>
              <w:rPr>
                <w:sz w:val="18"/>
              </w:rPr>
              <w:t>法学</w:t>
            </w:r>
          </w:p>
        </w:tc>
        <w:tc>
          <w:tcPr>
            <w:tcW w:type="dxa" w:w="2160"/>
          </w:tcPr>
          <w:p>
            <w:pPr>
              <w:jc w:val="center"/>
            </w:pPr>
            <w:r>
              <w:rPr>
                <w:sz w:val="18"/>
              </w:rPr>
              <w:t>135</w:t>
            </w:r>
          </w:p>
        </w:tc>
        <w:tc>
          <w:tcPr>
            <w:tcW w:type="dxa" w:w="2160"/>
          </w:tcPr>
          <w:p>
            <w:pPr>
              <w:jc w:val="center"/>
            </w:pPr>
            <w:r>
              <w:rPr>
                <w:sz w:val="18"/>
              </w:rPr>
              <w:t>35</w:t>
            </w:r>
          </w:p>
        </w:tc>
        <w:tc>
          <w:tcPr>
            <w:tcW w:type="dxa" w:w="2160"/>
          </w:tcPr>
          <w:p>
            <w:pPr>
              <w:jc w:val="center"/>
            </w:pPr>
            <w:r>
              <w:rPr>
                <w:sz w:val="18"/>
              </w:rPr>
              <w:t>25.9%</w:t>
            </w:r>
          </w:p>
        </w:tc>
      </w:tr>
      <w:tr>
        <w:tc>
          <w:tcPr>
            <w:tcW w:type="dxa" w:w="2160"/>
          </w:tcPr>
          <w:p>
            <w:pPr>
              <w:jc w:val="center"/>
            </w:pPr>
            <w:r>
              <w:rPr>
                <w:sz w:val="18"/>
              </w:rPr>
              <w:t>政治与法律</w:t>
            </w:r>
          </w:p>
        </w:tc>
        <w:tc>
          <w:tcPr>
            <w:tcW w:type="dxa" w:w="2160"/>
          </w:tcPr>
          <w:p>
            <w:pPr>
              <w:jc w:val="center"/>
            </w:pPr>
            <w:r>
              <w:rPr>
                <w:sz w:val="18"/>
              </w:rPr>
              <w:t>130</w:t>
            </w:r>
          </w:p>
        </w:tc>
        <w:tc>
          <w:tcPr>
            <w:tcW w:type="dxa" w:w="2160"/>
          </w:tcPr>
          <w:p>
            <w:pPr>
              <w:jc w:val="center"/>
            </w:pPr>
            <w:r>
              <w:rPr>
                <w:sz w:val="18"/>
              </w:rPr>
              <w:t>32</w:t>
            </w:r>
          </w:p>
        </w:tc>
        <w:tc>
          <w:tcPr>
            <w:tcW w:type="dxa" w:w="2160"/>
          </w:tcPr>
          <w:p>
            <w:pPr>
              <w:jc w:val="center"/>
            </w:pPr>
            <w:r>
              <w:rPr>
                <w:sz w:val="18"/>
              </w:rPr>
              <w:t>24.6%</w:t>
            </w:r>
          </w:p>
        </w:tc>
      </w:tr>
      <w:tr>
        <w:tc>
          <w:tcPr>
            <w:tcW w:type="dxa" w:w="2160"/>
          </w:tcPr>
          <w:p>
            <w:pPr>
              <w:jc w:val="center"/>
            </w:pPr>
            <w:r>
              <w:rPr>
                <w:sz w:val="18"/>
              </w:rPr>
              <w:t>当代法学</w:t>
            </w:r>
          </w:p>
        </w:tc>
        <w:tc>
          <w:tcPr>
            <w:tcW w:type="dxa" w:w="2160"/>
          </w:tcPr>
          <w:p>
            <w:pPr>
              <w:jc w:val="center"/>
            </w:pPr>
            <w:r>
              <w:rPr>
                <w:sz w:val="18"/>
              </w:rPr>
              <w:t>62</w:t>
            </w:r>
          </w:p>
        </w:tc>
        <w:tc>
          <w:tcPr>
            <w:tcW w:type="dxa" w:w="2160"/>
          </w:tcPr>
          <w:p>
            <w:pPr>
              <w:jc w:val="center"/>
            </w:pPr>
            <w:r>
              <w:rPr>
                <w:sz w:val="18"/>
              </w:rPr>
              <w:t>15</w:t>
            </w:r>
          </w:p>
        </w:tc>
        <w:tc>
          <w:tcPr>
            <w:tcW w:type="dxa" w:w="2160"/>
          </w:tcPr>
          <w:p>
            <w:pPr>
              <w:jc w:val="center"/>
            </w:pPr>
            <w:r>
              <w:rPr>
                <w:sz w:val="18"/>
              </w:rPr>
              <w:t>24.2%</w:t>
            </w:r>
          </w:p>
        </w:tc>
      </w:tr>
      <w:tr>
        <w:tc>
          <w:tcPr>
            <w:tcW w:type="dxa" w:w="2160"/>
          </w:tcPr>
          <w:p>
            <w:pPr>
              <w:jc w:val="center"/>
            </w:pPr>
            <w:r>
              <w:rPr>
                <w:sz w:val="18"/>
              </w:rPr>
              <w:t>中国社会科学</w:t>
            </w:r>
          </w:p>
        </w:tc>
        <w:tc>
          <w:tcPr>
            <w:tcW w:type="dxa" w:w="2160"/>
          </w:tcPr>
          <w:p>
            <w:pPr>
              <w:jc w:val="center"/>
            </w:pPr>
            <w:r>
              <w:rPr>
                <w:sz w:val="18"/>
              </w:rPr>
              <w:t>17</w:t>
            </w:r>
          </w:p>
        </w:tc>
        <w:tc>
          <w:tcPr>
            <w:tcW w:type="dxa" w:w="2160"/>
          </w:tcPr>
          <w:p>
            <w:pPr>
              <w:jc w:val="center"/>
            </w:pPr>
            <w:r>
              <w:rPr>
                <w:sz w:val="18"/>
              </w:rPr>
              <w:t>4</w:t>
            </w:r>
          </w:p>
        </w:tc>
        <w:tc>
          <w:tcPr>
            <w:tcW w:type="dxa" w:w="2160"/>
          </w:tcPr>
          <w:p>
            <w:pPr>
              <w:jc w:val="center"/>
            </w:pPr>
            <w:r>
              <w:rPr>
                <w:sz w:val="18"/>
              </w:rPr>
              <w:t>23.5%</w:t>
            </w:r>
          </w:p>
        </w:tc>
      </w:tr>
      <w:tr>
        <w:tc>
          <w:tcPr>
            <w:tcW w:type="dxa" w:w="2160"/>
          </w:tcPr>
          <w:p>
            <w:pPr>
              <w:jc w:val="center"/>
            </w:pPr>
            <w:r>
              <w:rPr>
                <w:sz w:val="18"/>
              </w:rPr>
              <w:t>中国法学</w:t>
            </w:r>
          </w:p>
        </w:tc>
        <w:tc>
          <w:tcPr>
            <w:tcW w:type="dxa" w:w="2160"/>
          </w:tcPr>
          <w:p>
            <w:pPr>
              <w:jc w:val="center"/>
            </w:pPr>
            <w:r>
              <w:rPr>
                <w:sz w:val="18"/>
              </w:rPr>
              <w:t>90</w:t>
            </w:r>
          </w:p>
        </w:tc>
        <w:tc>
          <w:tcPr>
            <w:tcW w:type="dxa" w:w="2160"/>
          </w:tcPr>
          <w:p>
            <w:pPr>
              <w:jc w:val="center"/>
            </w:pPr>
            <w:r>
              <w:rPr>
                <w:sz w:val="18"/>
              </w:rPr>
              <w:t>21</w:t>
            </w:r>
          </w:p>
        </w:tc>
        <w:tc>
          <w:tcPr>
            <w:tcW w:type="dxa" w:w="2160"/>
          </w:tcPr>
          <w:p>
            <w:pPr>
              <w:jc w:val="center"/>
            </w:pPr>
            <w:r>
              <w:rPr>
                <w:sz w:val="18"/>
              </w:rPr>
              <w:t>23.3%</w:t>
            </w:r>
          </w:p>
        </w:tc>
      </w:tr>
      <w:tr>
        <w:tc>
          <w:tcPr>
            <w:tcW w:type="dxa" w:w="2160"/>
          </w:tcPr>
          <w:p>
            <w:pPr>
              <w:jc w:val="center"/>
            </w:pPr>
            <w:r>
              <w:rPr>
                <w:sz w:val="18"/>
              </w:rPr>
              <w:t>环球法律评论</w:t>
            </w:r>
          </w:p>
        </w:tc>
        <w:tc>
          <w:tcPr>
            <w:tcW w:type="dxa" w:w="2160"/>
          </w:tcPr>
          <w:p>
            <w:pPr>
              <w:jc w:val="center"/>
            </w:pPr>
            <w:r>
              <w:rPr>
                <w:sz w:val="18"/>
              </w:rPr>
              <w:t>76</w:t>
            </w:r>
          </w:p>
        </w:tc>
        <w:tc>
          <w:tcPr>
            <w:tcW w:type="dxa" w:w="2160"/>
          </w:tcPr>
          <w:p>
            <w:pPr>
              <w:jc w:val="center"/>
            </w:pPr>
            <w:r>
              <w:rPr>
                <w:sz w:val="18"/>
              </w:rPr>
              <w:t>17</w:t>
            </w:r>
          </w:p>
        </w:tc>
        <w:tc>
          <w:tcPr>
            <w:tcW w:type="dxa" w:w="2160"/>
          </w:tcPr>
          <w:p>
            <w:pPr>
              <w:jc w:val="center"/>
            </w:pPr>
            <w:r>
              <w:rPr>
                <w:sz w:val="18"/>
              </w:rPr>
              <w:t>22.4%</w:t>
            </w:r>
          </w:p>
        </w:tc>
      </w:tr>
      <w:tr>
        <w:tc>
          <w:tcPr>
            <w:tcW w:type="dxa" w:w="2160"/>
          </w:tcPr>
          <w:p>
            <w:pPr>
              <w:jc w:val="center"/>
            </w:pPr>
            <w:r>
              <w:rPr>
                <w:sz w:val="18"/>
              </w:rPr>
              <w:t>华东政法大学学报</w:t>
            </w:r>
          </w:p>
        </w:tc>
        <w:tc>
          <w:tcPr>
            <w:tcW w:type="dxa" w:w="2160"/>
          </w:tcPr>
          <w:p>
            <w:pPr>
              <w:jc w:val="center"/>
            </w:pPr>
            <w:r>
              <w:rPr>
                <w:sz w:val="18"/>
              </w:rPr>
              <w:t>81</w:t>
            </w:r>
          </w:p>
        </w:tc>
        <w:tc>
          <w:tcPr>
            <w:tcW w:type="dxa" w:w="2160"/>
          </w:tcPr>
          <w:p>
            <w:pPr>
              <w:jc w:val="center"/>
            </w:pPr>
            <w:r>
              <w:rPr>
                <w:sz w:val="18"/>
              </w:rPr>
              <w:t>17</w:t>
            </w:r>
          </w:p>
        </w:tc>
        <w:tc>
          <w:tcPr>
            <w:tcW w:type="dxa" w:w="2160"/>
          </w:tcPr>
          <w:p>
            <w:pPr>
              <w:jc w:val="center"/>
            </w:pPr>
            <w:r>
              <w:rPr>
                <w:sz w:val="18"/>
              </w:rPr>
              <w:t>21.0%</w:t>
            </w:r>
          </w:p>
        </w:tc>
      </w:tr>
      <w:tr>
        <w:tc>
          <w:tcPr>
            <w:tcW w:type="dxa" w:w="2160"/>
          </w:tcPr>
          <w:p>
            <w:pPr>
              <w:jc w:val="center"/>
            </w:pPr>
            <w:r>
              <w:rPr>
                <w:sz w:val="18"/>
              </w:rPr>
              <w:t>法学研究</w:t>
            </w:r>
          </w:p>
        </w:tc>
        <w:tc>
          <w:tcPr>
            <w:tcW w:type="dxa" w:w="2160"/>
          </w:tcPr>
          <w:p>
            <w:pPr>
              <w:jc w:val="center"/>
            </w:pPr>
            <w:r>
              <w:rPr>
                <w:sz w:val="18"/>
              </w:rPr>
              <w:t>73</w:t>
            </w:r>
          </w:p>
        </w:tc>
        <w:tc>
          <w:tcPr>
            <w:tcW w:type="dxa" w:w="2160"/>
          </w:tcPr>
          <w:p>
            <w:pPr>
              <w:jc w:val="center"/>
            </w:pPr>
            <w:r>
              <w:rPr>
                <w:sz w:val="18"/>
              </w:rPr>
              <w:t>15</w:t>
            </w:r>
          </w:p>
        </w:tc>
        <w:tc>
          <w:tcPr>
            <w:tcW w:type="dxa" w:w="2160"/>
          </w:tcPr>
          <w:p>
            <w:pPr>
              <w:jc w:val="center"/>
            </w:pPr>
            <w:r>
              <w:rPr>
                <w:sz w:val="18"/>
              </w:rPr>
              <w:t>20.5%</w:t>
            </w:r>
          </w:p>
        </w:tc>
      </w:tr>
      <w:tr>
        <w:tc>
          <w:tcPr>
            <w:tcW w:type="dxa" w:w="2160"/>
          </w:tcPr>
          <w:p>
            <w:pPr>
              <w:jc w:val="center"/>
            </w:pPr>
            <w:r>
              <w:rPr>
                <w:sz w:val="18"/>
              </w:rPr>
              <w:t>法商研究</w:t>
            </w:r>
          </w:p>
        </w:tc>
        <w:tc>
          <w:tcPr>
            <w:tcW w:type="dxa" w:w="2160"/>
          </w:tcPr>
          <w:p>
            <w:pPr>
              <w:jc w:val="center"/>
            </w:pPr>
            <w:r>
              <w:rPr>
                <w:sz w:val="18"/>
              </w:rPr>
              <w:t>73</w:t>
            </w:r>
          </w:p>
        </w:tc>
        <w:tc>
          <w:tcPr>
            <w:tcW w:type="dxa" w:w="2160"/>
          </w:tcPr>
          <w:p>
            <w:pPr>
              <w:jc w:val="center"/>
            </w:pPr>
            <w:r>
              <w:rPr>
                <w:sz w:val="18"/>
              </w:rPr>
              <w:t>14</w:t>
            </w:r>
          </w:p>
        </w:tc>
        <w:tc>
          <w:tcPr>
            <w:tcW w:type="dxa" w:w="2160"/>
          </w:tcPr>
          <w:p>
            <w:pPr>
              <w:jc w:val="center"/>
            </w:pPr>
            <w:r>
              <w:rPr>
                <w:sz w:val="18"/>
              </w:rPr>
              <w:t>19.2%</w:t>
            </w:r>
          </w:p>
        </w:tc>
      </w:tr>
      <w:tr>
        <w:tc>
          <w:tcPr>
            <w:tcW w:type="dxa" w:w="2160"/>
          </w:tcPr>
          <w:p>
            <w:pPr>
              <w:jc w:val="center"/>
            </w:pPr>
            <w:r>
              <w:rPr>
                <w:sz w:val="18"/>
              </w:rPr>
              <w:t>现代法学</w:t>
            </w:r>
          </w:p>
        </w:tc>
        <w:tc>
          <w:tcPr>
            <w:tcW w:type="dxa" w:w="2160"/>
          </w:tcPr>
          <w:p>
            <w:pPr>
              <w:jc w:val="center"/>
            </w:pPr>
            <w:r>
              <w:rPr>
                <w:sz w:val="18"/>
              </w:rPr>
              <w:t>79</w:t>
            </w:r>
          </w:p>
        </w:tc>
        <w:tc>
          <w:tcPr>
            <w:tcW w:type="dxa" w:w="2160"/>
          </w:tcPr>
          <w:p>
            <w:pPr>
              <w:jc w:val="center"/>
            </w:pPr>
            <w:r>
              <w:rPr>
                <w:sz w:val="18"/>
              </w:rPr>
              <w:t>15</w:t>
            </w:r>
          </w:p>
        </w:tc>
        <w:tc>
          <w:tcPr>
            <w:tcW w:type="dxa" w:w="2160"/>
          </w:tcPr>
          <w:p>
            <w:pPr>
              <w:jc w:val="center"/>
            </w:pPr>
            <w:r>
              <w:rPr>
                <w:sz w:val="18"/>
              </w:rPr>
              <w:t>19.0%</w:t>
            </w:r>
          </w:p>
        </w:tc>
      </w:tr>
      <w:tr>
        <w:tc>
          <w:tcPr>
            <w:tcW w:type="dxa" w:w="2160"/>
          </w:tcPr>
          <w:p>
            <w:pPr>
              <w:jc w:val="center"/>
            </w:pPr>
            <w:r>
              <w:rPr>
                <w:sz w:val="18"/>
              </w:rPr>
              <w:t>法学家</w:t>
            </w:r>
          </w:p>
        </w:tc>
        <w:tc>
          <w:tcPr>
            <w:tcW w:type="dxa" w:w="2160"/>
          </w:tcPr>
          <w:p>
            <w:pPr>
              <w:jc w:val="center"/>
            </w:pPr>
            <w:r>
              <w:rPr>
                <w:sz w:val="18"/>
              </w:rPr>
              <w:t>72</w:t>
            </w:r>
          </w:p>
        </w:tc>
        <w:tc>
          <w:tcPr>
            <w:tcW w:type="dxa" w:w="2160"/>
          </w:tcPr>
          <w:p>
            <w:pPr>
              <w:jc w:val="center"/>
            </w:pPr>
            <w:r>
              <w:rPr>
                <w:sz w:val="18"/>
              </w:rPr>
              <w:t>13</w:t>
            </w:r>
          </w:p>
        </w:tc>
        <w:tc>
          <w:tcPr>
            <w:tcW w:type="dxa" w:w="2160"/>
          </w:tcPr>
          <w:p>
            <w:pPr>
              <w:jc w:val="center"/>
            </w:pPr>
            <w:r>
              <w:rPr>
                <w:sz w:val="18"/>
              </w:rPr>
              <w:t>18.1%</w:t>
            </w:r>
          </w:p>
        </w:tc>
      </w:tr>
      <w:tr>
        <w:tc>
          <w:tcPr>
            <w:tcW w:type="dxa" w:w="2160"/>
          </w:tcPr>
          <w:p>
            <w:pPr>
              <w:jc w:val="center"/>
            </w:pPr>
            <w:r>
              <w:rPr>
                <w:sz w:val="18"/>
              </w:rPr>
              <w:t>法学评论</w:t>
            </w:r>
          </w:p>
        </w:tc>
        <w:tc>
          <w:tcPr>
            <w:tcW w:type="dxa" w:w="2160"/>
          </w:tcPr>
          <w:p>
            <w:pPr>
              <w:jc w:val="center"/>
            </w:pPr>
            <w:r>
              <w:rPr>
                <w:sz w:val="18"/>
              </w:rPr>
              <w:t>88</w:t>
            </w:r>
          </w:p>
        </w:tc>
        <w:tc>
          <w:tcPr>
            <w:tcW w:type="dxa" w:w="2160"/>
          </w:tcPr>
          <w:p>
            <w:pPr>
              <w:jc w:val="center"/>
            </w:pPr>
            <w:r>
              <w:rPr>
                <w:sz w:val="18"/>
              </w:rPr>
              <w:t>15</w:t>
            </w:r>
          </w:p>
        </w:tc>
        <w:tc>
          <w:tcPr>
            <w:tcW w:type="dxa" w:w="2160"/>
          </w:tcPr>
          <w:p>
            <w:pPr>
              <w:jc w:val="center"/>
            </w:pPr>
            <w:r>
              <w:rPr>
                <w:sz w:val="18"/>
              </w:rPr>
              <w:t>17.0%</w:t>
            </w:r>
          </w:p>
        </w:tc>
      </w:tr>
      <w:tr>
        <w:tc>
          <w:tcPr>
            <w:tcW w:type="dxa" w:w="2160"/>
          </w:tcPr>
          <w:p>
            <w:pPr>
              <w:jc w:val="center"/>
            </w:pPr>
            <w:r>
              <w:rPr>
                <w:sz w:val="18"/>
              </w:rPr>
              <w:t>法律科学</w:t>
            </w:r>
          </w:p>
        </w:tc>
        <w:tc>
          <w:tcPr>
            <w:tcW w:type="dxa" w:w="2160"/>
          </w:tcPr>
          <w:p>
            <w:pPr>
              <w:jc w:val="center"/>
            </w:pPr>
            <w:r>
              <w:rPr>
                <w:sz w:val="18"/>
              </w:rPr>
              <w:t>87</w:t>
            </w:r>
          </w:p>
        </w:tc>
        <w:tc>
          <w:tcPr>
            <w:tcW w:type="dxa" w:w="2160"/>
          </w:tcPr>
          <w:p>
            <w:pPr>
              <w:jc w:val="center"/>
            </w:pPr>
            <w:r>
              <w:rPr>
                <w:sz w:val="18"/>
              </w:rPr>
              <w:t>12</w:t>
            </w:r>
          </w:p>
        </w:tc>
        <w:tc>
          <w:tcPr>
            <w:tcW w:type="dxa" w:w="2160"/>
          </w:tcPr>
          <w:p>
            <w:pPr>
              <w:jc w:val="center"/>
            </w:pPr>
            <w:r>
              <w:rPr>
                <w:sz w:val="18"/>
              </w:rPr>
              <w:t>13.8%</w:t>
            </w:r>
          </w:p>
        </w:tc>
      </w:tr>
      <w:tr>
        <w:tc>
          <w:tcPr>
            <w:tcW w:type="dxa" w:w="2160"/>
          </w:tcPr>
          <w:p>
            <w:pPr>
              <w:jc w:val="center"/>
            </w:pPr>
            <w:r>
              <w:rPr>
                <w:sz w:val="18"/>
              </w:rPr>
              <w:t>法制与社会发展</w:t>
            </w:r>
          </w:p>
        </w:tc>
        <w:tc>
          <w:tcPr>
            <w:tcW w:type="dxa" w:w="2160"/>
          </w:tcPr>
          <w:p>
            <w:pPr>
              <w:jc w:val="center"/>
            </w:pPr>
            <w:r>
              <w:rPr>
                <w:sz w:val="18"/>
              </w:rPr>
              <w:t>75</w:t>
            </w:r>
          </w:p>
        </w:tc>
        <w:tc>
          <w:tcPr>
            <w:tcW w:type="dxa" w:w="2160"/>
          </w:tcPr>
          <w:p>
            <w:pPr>
              <w:jc w:val="center"/>
            </w:pPr>
            <w:r>
              <w:rPr>
                <w:sz w:val="18"/>
              </w:rPr>
              <w:t>10</w:t>
            </w:r>
          </w:p>
        </w:tc>
        <w:tc>
          <w:tcPr>
            <w:tcW w:type="dxa" w:w="2160"/>
          </w:tcPr>
          <w:p>
            <w:pPr>
              <w:jc w:val="center"/>
            </w:pPr>
            <w:r>
              <w:rPr>
                <w:sz w:val="18"/>
              </w:rPr>
              <w:t>13.3%</w:t>
            </w:r>
          </w:p>
        </w:tc>
      </w:tr>
      <w:tr>
        <w:tc>
          <w:tcPr>
            <w:tcW w:type="dxa" w:w="2160"/>
          </w:tcPr>
          <w:p>
            <w:pPr>
              <w:jc w:val="center"/>
            </w:pPr>
            <w:r>
              <w:rPr>
                <w:sz w:val="18"/>
              </w:rPr>
              <w:t>中国法律评论</w:t>
            </w:r>
          </w:p>
        </w:tc>
        <w:tc>
          <w:tcPr>
            <w:tcW w:type="dxa" w:w="2160"/>
          </w:tcPr>
          <w:p>
            <w:pPr>
              <w:jc w:val="center"/>
            </w:pPr>
            <w:r>
              <w:rPr>
                <w:sz w:val="18"/>
              </w:rPr>
              <w:t>89</w:t>
            </w:r>
          </w:p>
        </w:tc>
        <w:tc>
          <w:tcPr>
            <w:tcW w:type="dxa" w:w="2160"/>
          </w:tcPr>
          <w:p>
            <w:pPr>
              <w:jc w:val="center"/>
            </w:pPr>
            <w:r>
              <w:rPr>
                <w:sz w:val="18"/>
              </w:rPr>
              <w:t>9</w:t>
            </w:r>
          </w:p>
        </w:tc>
        <w:tc>
          <w:tcPr>
            <w:tcW w:type="dxa" w:w="2160"/>
          </w:tcPr>
          <w:p>
            <w:pPr>
              <w:jc w:val="center"/>
            </w:pPr>
            <w:r>
              <w:rPr>
                <w:sz w:val="18"/>
              </w:rPr>
              <w:t>10.1%</w:t>
            </w:r>
          </w:p>
        </w:tc>
      </w:tr>
    </w:tbl>
    <w:p/>
    <w:p>
      <w:pPr>
        <w:jc w:val="center"/>
      </w:pPr>
      <w:r>
        <w:rPr>
          <w:b/>
          <w:sz w:val="20"/>
        </w:rPr>
        <w:t>表1  2025年CLSCI期刊泛刑法文章分布统计</w:t>
      </w:r>
    </w:p>
    <w:p>
      <w:pPr>
        <w:ind w:firstLine="420"/>
      </w:pPr>
      <w:r>
        <w:t>除专业期刊《中国刑事法杂志》（100%为刑事法文章）外，综合性法学期刊中，《清华法学》以33/68的泛刑法文章占比（48.5%）高居榜首；《法学论坛》（32.9%）和《中外法学》（28.8%）紧随其后。相对而言，《中国法律评论》和《法制与社会发展》的泛刑法文章占比较低，这与两刊偏重法理学、法社会学等方向的定位相符。</w:t>
      </w:r>
    </w:p>
    <w:p>
      <w:pPr>
        <w:pStyle w:val="Heading2"/>
      </w:pPr>
      <w:r>
        <w:t>（三）期数分布</w:t>
      </w:r>
    </w:p>
    <w:p>
      <w:pPr>
        <w:jc w:val="center"/>
      </w:pPr>
      <w:r>
        <w:drawing>
          <wp:inline xmlns:a="http://schemas.openxmlformats.org/drawingml/2006/main" xmlns:pic="http://schemas.openxmlformats.org/drawingml/2006/picture">
            <wp:extent cx="5029200" cy="274628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746282"/>
                    </a:xfrm>
                    <a:prstGeom prst="rect"/>
                  </pic:spPr>
                </pic:pic>
              </a:graphicData>
            </a:graphic>
          </wp:inline>
        </w:drawing>
      </w:r>
    </w:p>
    <w:p>
      <w:pPr>
        <w:jc w:val="center"/>
      </w:pPr>
      <w:r>
        <w:rPr>
          <w:b/>
          <w:sz w:val="20"/>
        </w:rPr>
        <w:t>图2  泛刑法文章期数分布</w:t>
      </w:r>
    </w:p>
    <w:p>
      <w:pPr>
        <w:ind w:firstLine="420"/>
      </w:pPr>
      <w:r>
        <w:t>从发表时间看，泛刑法文章在各期次中的分布较为均匀。双月刊期刊的六期中，第1期53篇、第2期65篇、第3期66篇、第4期53篇、第5期72篇、第6期53篇。月刊期刊（《政治与法律》《法学》）的各期分布更为分散。总体而言，2025年度泛刑法研究的发表节奏平稳，学术产出具有持续性。</w:t>
      </w:r>
    </w:p>
    <w:p>
      <w:pPr>
        <w:pStyle w:val="Heading2"/>
      </w:pPr>
      <w:r>
        <w:t>（四）专题组稿现象</w:t>
      </w:r>
    </w:p>
    <w:p>
      <w:pPr>
        <w:ind w:firstLine="420"/>
      </w:pPr>
      <w:r>
        <w:t>通过检测同一期刊同一期次中相同主题的文章聚集情况，发现10组疑似专题组稿现象（同期≥3篇同主题）：</w:t>
      </w:r>
    </w:p>
    <w:p>
      <w:pPr>
        <w:ind w:firstLine="420"/>
      </w:pPr>
      <w:r>
        <w:rPr>
          <w:b/>
        </w:rPr>
        <w:t>《当代法学》第1期·轻罪治理（3篇）：</w:t>
      </w:r>
      <w:r>
        <w:t>《轻罪司法治理下的轻罪定罪规则构建》、《论从轻罪到轻犯罪及出罪路径》、《司法机关在轻罪治理中的目标设定与实现路径》</w:t>
      </w:r>
    </w:p>
    <w:p>
      <w:pPr>
        <w:ind w:firstLine="420"/>
      </w:pPr>
      <w:r>
        <w:rPr>
          <w:b/>
        </w:rPr>
        <w:t>《法学论坛》第1期·刑事证据（4篇）：</w:t>
      </w:r>
      <w:r>
        <w:t>《论启动非法证据排除程序的“线索或者材料”——从“质疑责任说”到“审判对象具体化说”》、《程序性事实观下刑事证据制度改革路径探究》、《数字时代BCI生成数据信息的证据构造论》等</w:t>
      </w:r>
    </w:p>
    <w:p>
      <w:pPr>
        <w:ind w:firstLine="420"/>
      </w:pPr>
      <w:r>
        <w:rPr>
          <w:b/>
        </w:rPr>
        <w:t>《清华法学》第6期·贿赂犯罪（4篇）：</w:t>
      </w:r>
      <w:r>
        <w:t>《义务犯视野下的新型腐败行为——以受贿罪为中心的分析》、《商业机会型受贿的刑法边界》、《论职务变动前后国家工作人员受贿行为的定性》等</w:t>
      </w:r>
    </w:p>
    <w:p>
      <w:pPr>
        <w:ind w:firstLine="420"/>
      </w:pPr>
      <w:r>
        <w:rPr>
          <w:b/>
        </w:rPr>
        <w:t>《清华法学》第2期·归责理论（3篇）：</w:t>
      </w:r>
      <w:r>
        <w:t>《结果归责的基础行为是过失行为——位阶式归责路径之提倡》、《论保证人关系下的正当防卫强度限制——以家庭成员间的不法侵害为例》、《量的防卫过当之否定与防御性紧急避险之提倡——事后防卫出罪依据的重新划定》</w:t>
      </w:r>
    </w:p>
    <w:p>
      <w:pPr>
        <w:ind w:firstLine="420"/>
      </w:pPr>
      <w:r>
        <w:rPr>
          <w:b/>
        </w:rPr>
        <w:t>《华东政法大学学报》第6期·数字·个人信息·经济（3篇）：</w:t>
      </w:r>
      <w:r>
        <w:t>《数字经济时代个人信息的民行刑一体化保护》、《数字经济时代个人信息保护的民行刑一体化推进研究》、《论纪检监察机制的平台化转型》</w:t>
      </w:r>
    </w:p>
    <w:p>
      <w:pPr>
        <w:ind w:firstLine="420"/>
      </w:pPr>
      <w:r>
        <w:rPr>
          <w:b/>
        </w:rPr>
        <w:t>《华东政法大学学报》第5期·认罪认罚（4篇）：</w:t>
      </w:r>
      <w:r>
        <w:t>《量刑协商制度的两个模式》、《量刑协商制度中的检法冲突与平衡》、《量刑协商中的有效辩护》等</w:t>
      </w:r>
    </w:p>
    <w:p>
      <w:pPr>
        <w:ind w:firstLine="420"/>
      </w:pPr>
      <w:r>
        <w:rPr>
          <w:b/>
        </w:rPr>
        <w:t>《中国刑事法杂志》第3期·侦查制度（3篇）：</w:t>
      </w:r>
      <w:r>
        <w:t>《废除抑或严格限制：指定居所监视居住的再修改》、《趋利性执法司法的体制根源与制度应对——以罚没款物管理制度为重点的分析》、《强制侦查的识别标准及其实现路径》</w:t>
      </w:r>
    </w:p>
    <w:p>
      <w:pPr>
        <w:ind w:firstLine="420"/>
      </w:pPr>
      <w:r>
        <w:rPr>
          <w:b/>
        </w:rPr>
        <w:t>《中国刑事法杂志》第2期·法益理论（3篇）：</w:t>
      </w:r>
      <w:r>
        <w:t>《论“领域刑法”的理论构造与现实功能》、《刑法规制经济犯罪的逻辑与边界》、《税收犯罪的刑事法律规制与司法认定——兼析2024年税收犯罪司法解释的核心条款》</w:t>
      </w:r>
    </w:p>
    <w:p>
      <w:pPr>
        <w:pStyle w:val="Heading1"/>
      </w:pPr>
      <w:r>
        <w:t>四、关键词图谱与热点识别</w:t>
      </w:r>
    </w:p>
    <w:p>
      <w:pPr>
        <w:pStyle w:val="Heading2"/>
      </w:pPr>
      <w:r>
        <w:t>（一）TF-IDF高权重关键词</w:t>
      </w:r>
    </w:p>
    <w:p>
      <w:pPr>
        <w:ind w:firstLine="420"/>
      </w:pPr>
      <w:r>
        <w:t>基于395篇文章的标题、摘要和全文预览文本，经jieba分词和TF-IDF算法提取，全局权重最高的30个关键词如下：</w:t>
      </w:r>
    </w:p>
    <w:p>
      <w:pPr>
        <w:ind w:firstLine="420"/>
      </w:pPr>
      <w:r>
        <w:t>行为（0.0332）、证据（0.0319）、刑事（0.0290）、数据（0.0289）、制度（0.0270）、法益（0.0263）、我国（0.0219）、理论（0.0207）、程序（0.0206）、立法（0.0201）、保护（0.0200）、规范（0.0197）、数字（0.0188）、适用（0.0183）、规定（0.0176）</w:t>
      </w:r>
    </w:p>
    <w:p>
      <w:pPr>
        <w:ind w:firstLine="420"/>
      </w:pPr>
      <w:r>
        <w:t>上述关键词反映了2025年度泛刑法研究的核心议题分布。与仅依赖标题关键词匹配的传统方法相比，基于摘要和全文的TF-IDF分析能够捕捉到标题中未直接体现但在论述中占据重要地位的概念，如部分方法论术语和理论框架关键词在标题中出现频率较低，但在摘要中频繁出现。</w:t>
      </w:r>
    </w:p>
    <w:p>
      <w:pPr>
        <w:jc w:val="center"/>
      </w:pPr>
      <w:r>
        <w:drawing>
          <wp:inline xmlns:a="http://schemas.openxmlformats.org/drawingml/2006/main" xmlns:pic="http://schemas.openxmlformats.org/drawingml/2006/picture">
            <wp:extent cx="5303520" cy="285326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2853262"/>
                    </a:xfrm>
                    <a:prstGeom prst="rect"/>
                  </pic:spPr>
                </pic:pic>
              </a:graphicData>
            </a:graphic>
          </wp:inline>
        </w:drawing>
      </w:r>
    </w:p>
    <w:p>
      <w:pPr>
        <w:jc w:val="center"/>
      </w:pPr>
      <w:r>
        <w:rPr>
          <w:b/>
          <w:sz w:val="20"/>
        </w:rPr>
        <w:t>图3  2025年CLSCI泛刑法研究关键词云</w:t>
      </w:r>
    </w:p>
    <w:p>
      <w:pPr>
        <w:pStyle w:val="Heading2"/>
      </w:pPr>
      <w:r>
        <w:t>（二）数据驱动的主题聚类</w:t>
      </w:r>
    </w:p>
    <w:p>
      <w:pPr>
        <w:ind w:firstLine="420"/>
      </w:pPr>
      <w:r>
        <w:t>通过NMF非负矩阵分解算法，将395篇文章在TF-IDF特征空间中聚类为15个主题。每个主题由一组高权重关键词表征，每篇文章被分配至其最相关的主题。</w:t>
      </w:r>
    </w:p>
    <w:p>
      <w:pPr>
        <w:jc w:val="center"/>
      </w:pPr>
      <w:r>
        <w:drawing>
          <wp:inline xmlns:a="http://schemas.openxmlformats.org/drawingml/2006/main" xmlns:pic="http://schemas.openxmlformats.org/drawingml/2006/picture">
            <wp:extent cx="5303520" cy="334646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3346462"/>
                    </a:xfrm>
                    <a:prstGeom prst="rect"/>
                  </pic:spPr>
                </pic:pic>
              </a:graphicData>
            </a:graphic>
          </wp:inline>
        </w:drawing>
      </w:r>
    </w:p>
    <w:p>
      <w:pPr>
        <w:jc w:val="center"/>
      </w:pPr>
      <w:r>
        <w:rPr>
          <w:b/>
          <w:sz w:val="20"/>
        </w:rPr>
        <w:t>图4  NMF主题聚类文章数量分布</w:t>
      </w:r>
    </w:p>
    <w:p>
      <w:pPr>
        <w:ind w:firstLine="420"/>
      </w:pPr>
      <w:r>
        <w:t>从主题分布可以看出，文章数量最多的前五个主题依次为：</w:t>
      </w:r>
    </w:p>
    <w:p>
      <w:pPr>
        <w:ind w:firstLine="420"/>
      </w:pPr>
      <w:r>
        <w:t>（1）中国·检察·体系（45篇，11.4%）：核心关键词为“中国、检察、体系、刑事、公益”。</w:t>
      </w:r>
    </w:p>
    <w:p>
      <w:pPr>
        <w:ind w:firstLine="420"/>
      </w:pPr>
      <w:r>
        <w:t>（2）归责理论（43篇，10.9%）：核心关键词为“归责、结果、过失、不法、行为”。</w:t>
      </w:r>
    </w:p>
    <w:p>
      <w:pPr>
        <w:ind w:firstLine="420"/>
      </w:pPr>
      <w:r>
        <w:t>（3）认罪认罚（41篇，10.4%）：核心关键词为“认罪认罚从宽、量刑、制度、认罪认罚、辩护”。</w:t>
      </w:r>
    </w:p>
    <w:p>
      <w:pPr>
        <w:ind w:firstLine="420"/>
      </w:pPr>
      <w:r>
        <w:t>（4）财产犯罪（38篇，9.6%）：核心关键词为“财产、诈骗罪、财物、诈骗、行为”。</w:t>
      </w:r>
    </w:p>
    <w:p>
      <w:pPr>
        <w:ind w:firstLine="420"/>
      </w:pPr>
      <w:r>
        <w:t>（5）法益理论（36篇，9.1%）：核心关键词为“法益、立法、抽象危险犯、危险、保护”。</w:t>
      </w:r>
    </w:p>
    <w:p>
      <w:pPr>
        <w:pStyle w:val="Heading2"/>
      </w:pPr>
      <w:r>
        <w:t>（三）关键词共现网络</w:t>
      </w:r>
    </w:p>
    <w:p>
      <w:pPr>
        <w:ind w:firstLine="420"/>
      </w:pPr>
      <w:r>
        <w:t>关键词共现网络揭示了不同研究议题之间的关联结构。两个关键词在同一篇文章中同时具有较高TF-IDF权重时，即构成一次共现。共现频次越高，两个议题之间的知识关联越紧密。</w:t>
      </w:r>
    </w:p>
    <w:p>
      <w:pPr>
        <w:jc w:val="center"/>
      </w:pPr>
      <w:r>
        <w:drawing>
          <wp:inline xmlns:a="http://schemas.openxmlformats.org/drawingml/2006/main" xmlns:pic="http://schemas.openxmlformats.org/drawingml/2006/picture">
            <wp:extent cx="5303520" cy="441423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4414233"/>
                    </a:xfrm>
                    <a:prstGeom prst="rect"/>
                  </pic:spPr>
                </pic:pic>
              </a:graphicData>
            </a:graphic>
          </wp:inline>
        </w:drawing>
      </w:r>
    </w:p>
    <w:p>
      <w:pPr>
        <w:jc w:val="center"/>
      </w:pPr>
      <w:r>
        <w:rPr>
          <w:b/>
          <w:sz w:val="20"/>
        </w:rPr>
        <w:t>图5  关键词共现网络图</w:t>
      </w:r>
    </w:p>
    <w:p>
      <w:pPr>
        <w:ind w:firstLine="420"/>
      </w:pPr>
      <w:r>
        <w:t>从网络结构来看，中介中心性最高的关键词为“数据”、“数字”、“保护”、“证据”、“财产”，这些关键词在不同研究子领域之间起到了“知识桥梁”的作用，连接着多个相对独立的研究议题群。例如，某些概念同时出现在基础理论研究和应用型研究中，表明这些概念具有跨越细分领域的理论辐射力。</w:t>
      </w:r>
    </w:p>
    <w:p>
      <w:pPr>
        <w:pStyle w:val="Heading1"/>
      </w:pPr>
      <w:r>
        <w:t>五、热点专题深度分析</w:t>
      </w:r>
    </w:p>
    <w:p>
      <w:pPr>
        <w:ind w:firstLine="420"/>
      </w:pPr>
      <w:r>
        <w:t>通过对395篇泛刑法文章的标题、摘要进行关键词分析和主题聚类，可以识别出2025年度的若干核心热点专题。以下按文章数量从高到低依次分析。</w:t>
      </w:r>
    </w:p>
    <w:p>
      <w:pPr>
        <w:pStyle w:val="Heading2"/>
      </w:pPr>
      <w:r>
        <w:t>（一）刑法基础理论：法益论与归责理论的纵深发展</w:t>
      </w:r>
    </w:p>
    <w:p>
      <w:pPr>
        <w:ind w:firstLine="420"/>
      </w:pPr>
      <w:r>
        <w:t>刑法基础理论研究是本年度产出最多的专题方向，共计54篇。其中，“法益”和“归责”构成了刑法理论研究的两大主轴。</w:t>
      </w:r>
    </w:p>
    <w:p>
      <w:pPr>
        <w:ind w:firstLine="420"/>
      </w:pPr>
      <w:r>
        <w:t>在法益论方面，2025年的讨论呈现三个新趋势：一是法益概念的数字化拓展，如对“网络秩序法益”“数据法益”的探讨；二是法益理论与具体罪名解释的深度结合，如侮辱罪、非法经营罪、帮信罪等罪名中的法益识别；三是法益分层保护理论的兴起。</w:t>
      </w:r>
    </w:p>
    <w:p>
      <w:pPr>
        <w:ind w:firstLine="420"/>
      </w:pPr>
      <w:r>
        <w:t>典型文章如《区分自然犯与法定犯的新标准：主体性法益／主体间性法益》（中国法学）、《从外在名誉到内在尊严：侮辱罪保护法益的重构与展开》（中国法学）、《实质法益保护理念下行政犯行刑反向衔接机制的展开》（中国法学）等，均体现了法益论从抽象建构走向具体适用的学术转向。</w:t>
      </w:r>
    </w:p>
    <w:p>
      <w:pPr>
        <w:ind w:firstLine="420"/>
      </w:pPr>
      <w:r>
        <w:t>在归责理论方面，结果归责的类型化、规范化成为主要议题。多篇文章尝试在传统行为责任范型之外构建规范性的归责新范式。此外，归责理论在人工智能犯罪、过失犯等新领域的应用也值得关注。</w:t>
      </w:r>
    </w:p>
    <w:p>
      <w:pPr>
        <w:pStyle w:val="Heading2"/>
      </w:pPr>
      <w:r>
        <w:t>（二）轻罪治理与犯罪记录封存：从刑事政策到制度建构</w:t>
      </w:r>
    </w:p>
    <w:p>
      <w:pPr>
        <w:ind w:firstLine="420"/>
      </w:pPr>
      <w:r>
        <w:t>轻罪治理是2025年度最突出的政策性热点，共有27篇文章涉及。研究呈现“三条主线”并行：第一条是实体法上的出罪机制，包括但书出罪、醉驾出罪等；第二条是程序法上的分流机制，如相对不起诉的扩大适用；第三条是犯罪记录封存与前科消灭制度。</w:t>
      </w:r>
    </w:p>
    <w:p>
      <w:pPr>
        <w:ind w:firstLine="420"/>
      </w:pPr>
      <w:r>
        <w:t>犯罪记录封存方面的代表文章包括《论轻微犯罪记录封存背景下的复权制度》（现代法学）、《轻微犯罪非定罪记录的类型化分析与封存路径建构》（现代法学）、《轻微犯罪记录封存制度的时空维度建构》（法制与社会发展）等，体现了学界对轻罪附随后果问题的高度关注。</w:t>
      </w:r>
    </w:p>
    <w:p>
      <w:pPr>
        <w:pStyle w:val="Heading2"/>
      </w:pPr>
      <w:r>
        <w:t>（三）经济刑法与反腐败：受贿罪研究的集中爆发</w:t>
      </w:r>
    </w:p>
    <w:p>
      <w:pPr>
        <w:ind w:firstLine="420"/>
      </w:pPr>
      <w:r>
        <w:t>经济刑法与反腐败研究共计30篇，是传统刑法分论中产出最多的领域。受贿罪相关研究出现集中爆发，仅标题含“受贿”的文章就有10篇。“代持型受贿”“约定受贿”“商业机会型受贿”等新型模式成为研究焦点。</w:t>
      </w:r>
    </w:p>
    <w:p>
      <w:pPr>
        <w:ind w:firstLine="420"/>
      </w:pPr>
      <w:r>
        <w:t>在洗钱罪研究方面，共有7篇相关文章，讨论焦点包括自洗钱入罪后的司法认定、洗钱罪与掩饰隐瞒犯罪所得罪的界分等。此外，税收犯罪、虚开增值税专用发票罪等传统经济犯罪罪名的研究持续活跃。</w:t>
      </w:r>
    </w:p>
    <w:p>
      <w:pPr>
        <w:pStyle w:val="Heading2"/>
      </w:pPr>
      <w:r>
        <w:t>（四）行刑衔接与法秩序统一：交叉领域研究的井喷</w:t>
      </w:r>
    </w:p>
    <w:p>
      <w:pPr>
        <w:ind w:firstLine="420"/>
      </w:pPr>
      <w:r>
        <w:t>行刑衔接与法秩序统一性研究共计24篇，成为2025年度增长最快的研究方向之一。这一热点的形成与检察机关推进行刑反向衔接工作的实践需求直接相关。</w:t>
      </w:r>
    </w:p>
    <w:p>
      <w:pPr>
        <w:ind w:firstLine="420"/>
      </w:pPr>
      <w:r>
        <w:t>代表性文章包括《区分自然犯与法定犯的新标准：主体性法益／主体间性法益》（中国法学）、《民行刑交叉中的高空抛物致损赔偿规则》（中国法学）、《实质法益保护理念下行政犯行刑反向衔接机制的展开》（中国法学）等。</w:t>
      </w:r>
    </w:p>
    <w:p>
      <w:pPr>
        <w:ind w:firstLine="420"/>
      </w:pPr>
      <w:r>
        <w:t>研究涵盖三个层面：一是宏观理论层面，探讨行政违法与刑事犯罪的界限；二是制度建构层面，讨论行刑双向衔接的程序机制；三是具体罪名层面，分析法定犯的认定标准。</w:t>
      </w:r>
    </w:p>
    <w:p>
      <w:pPr>
        <w:pStyle w:val="Heading2"/>
      </w:pPr>
      <w:r>
        <w:t>（五）人工智能、数据犯罪与刑事司法数字化</w:t>
      </w:r>
    </w:p>
    <w:p>
      <w:pPr>
        <w:ind w:firstLine="420"/>
      </w:pPr>
      <w:r>
        <w:t>人工智能与刑法（17篇）、数据犯罪与个人信息保护（8篇）、刑事司法数字化转型（13篇）三个板块共同构成了“数字时代刑法”的研究版图，合计超过38篇。</w:t>
      </w:r>
    </w:p>
    <w:p>
      <w:pPr>
        <w:ind w:firstLine="420"/>
      </w:pPr>
      <w:r>
        <w:t>人工智能刑法研究的代表文章包括《人工智能时代深度伪造行为的刑法规制》（政治与法律）、《人工智能犯罪归责的行为主体论路径》（法学家）、《人工智能时代公民隐私权的刑法保护》（法学家）等。</w:t>
      </w:r>
    </w:p>
    <w:p>
      <w:pPr>
        <w:ind w:firstLine="420"/>
      </w:pPr>
      <w:r>
        <w:t>研究主要聚焦四个议题：一是人工智能犯罪的归责路径；二是深度伪造等新技术的刑法规制；三是人工智能辅助司法的规范化；四是生成式人工智能（大模型）带来的新型风险。其中，大模型在司法中的应用是2025年的全新议题。</w:t>
      </w:r>
    </w:p>
    <w:p>
      <w:pPr>
        <w:pStyle w:val="Heading2"/>
      </w:pPr>
      <w:r>
        <w:t>（六）网络犯罪治理：帮信罪与网络暴力</w:t>
      </w:r>
    </w:p>
    <w:p>
      <w:pPr>
        <w:ind w:firstLine="420"/>
      </w:pPr>
      <w:r>
        <w:t>网络犯罪治理研究共11篇。帮助信息网络犯罪活动罪（帮信罪）仍是讨论焦点，多篇文章从法益保护、规范属性、竞合关系等角度展开分析。网络暴力的刑法治理是另一突出议题，涉及入罪标准、归责逻辑、证据供给等面向。</w:t>
      </w:r>
    </w:p>
    <w:p>
      <w:pPr>
        <w:pStyle w:val="Heading2"/>
      </w:pPr>
      <w:r>
        <w:t>（七）认罪认罚从宽制度：从推行到反思</w:t>
      </w:r>
    </w:p>
    <w:p>
      <w:pPr>
        <w:ind w:firstLine="420"/>
      </w:pPr>
      <w:r>
        <w:t>认罪认罚从宽制度研究共10篇。与往年侧重正当性论证不同，2025年的研究明显转向制度实施效果的反思与优化。量刑协商机制的实质化问题得到了专门讨论。</w:t>
      </w:r>
    </w:p>
    <w:p>
      <w:pPr>
        <w:ind w:firstLine="420"/>
      </w:pPr>
      <w:r>
        <w:t>代表文章如《认罪认罚从宽制度的实践反思与体系重塑》（法学评论）、《认罪认罚从宽制度下检察机关量刑抗诉的省思》（法学评论）、《认罪认罚自愿性保障的制度性缺陷及其破解》（政治与法律）等，直面制度运行中的现实问题。</w:t>
      </w:r>
    </w:p>
    <w:p>
      <w:pPr>
        <w:pStyle w:val="Heading2"/>
      </w:pPr>
      <w:r>
        <w:t>（八）刑事证据制度：电子证据与证据体系重构</w:t>
      </w:r>
    </w:p>
    <w:p>
      <w:pPr>
        <w:ind w:firstLine="420"/>
      </w:pPr>
      <w:r>
        <w:t>刑事证据相关研究共17篇，呈现两大特征：一是电子证据、数字证据的理论与实务问题持续升温；二是证据审查方法论的创新。</w:t>
      </w:r>
    </w:p>
    <w:p>
      <w:pPr>
        <w:ind w:firstLine="420"/>
      </w:pPr>
      <w:r>
        <w:t>代表文章如《电子证据痕迹效应理论及其运用》（中国法学）、《证据链之内涵与功能重释》（中国法学）等。</w:t>
      </w:r>
    </w:p>
    <w:p>
      <w:pPr>
        <w:pStyle w:val="Heading2"/>
      </w:pPr>
      <w:r>
        <w:t>（九）刑事诉讼法第四次修改</w:t>
      </w:r>
    </w:p>
    <w:p>
      <w:pPr>
        <w:ind w:firstLine="420"/>
      </w:pPr>
      <w:r>
        <w:t>刑事诉讼法修改相关研究共8篇。随着修法被正式提上日程，法典化路径、特别程序体系、回避制度、被害人权利保护等议题均得到深入讨论。</w:t>
      </w:r>
    </w:p>
    <w:p>
      <w:pPr>
        <w:pStyle w:val="Heading2"/>
      </w:pPr>
      <w:r>
        <w:t>（十）其他值得关注的研究方向</w:t>
      </w:r>
    </w:p>
    <w:p>
      <w:pPr>
        <w:ind w:firstLine="420"/>
      </w:pPr>
      <w:r>
        <w:rPr>
          <w:b/>
        </w:rPr>
        <w:t>危险犯理论与醉驾治理（10篇）：</w:t>
      </w:r>
      <w:r>
        <w:t>抽象危险犯的判断标准、醉驾入罪与出罪的边界是持续争议的议题。</w:t>
      </w:r>
    </w:p>
    <w:p>
      <w:pPr>
        <w:ind w:firstLine="420"/>
      </w:pPr>
      <w:r>
        <w:rPr>
          <w:b/>
        </w:rPr>
        <w:t>诈骗犯罪研究（10篇）：</w:t>
      </w:r>
      <w:r>
        <w:t>诈骗罪中的直接性要件、认识错误、财产损失判断标准等教义学问题得到持续探讨。</w:t>
      </w:r>
    </w:p>
    <w:p>
      <w:pPr>
        <w:ind w:firstLine="420"/>
      </w:pPr>
      <w:r>
        <w:rPr>
          <w:b/>
        </w:rPr>
        <w:t>侦查制度（9篇）：</w:t>
      </w:r>
      <w:r>
        <w:t>机动侦查权的理论定位与程序设计成为热点。</w:t>
      </w:r>
    </w:p>
    <w:p>
      <w:pPr>
        <w:ind w:firstLine="420"/>
      </w:pPr>
      <w:r>
        <w:rPr>
          <w:b/>
        </w:rPr>
        <w:t>正当防卫（4篇）：</w:t>
      </w:r>
      <w:r>
        <w:t>正当防卫在家庭暴力反击场景中的适用、防卫过当的认定标准受到关注。</w:t>
      </w:r>
    </w:p>
    <w:p>
      <w:pPr>
        <w:ind w:firstLine="420"/>
      </w:pPr>
      <w:r>
        <w:rPr>
          <w:b/>
        </w:rPr>
        <w:t>共犯论（6篇）：</w:t>
      </w:r>
      <w:r>
        <w:t>网络共同犯罪中的单向意思联络、共犯从属性理论在数字时代的危机与应对引发讨论。</w:t>
      </w:r>
    </w:p>
    <w:p>
      <w:pPr>
        <w:ind w:firstLine="420"/>
      </w:pPr>
      <w:r>
        <w:rPr>
          <w:b/>
        </w:rPr>
        <w:t>单位犯罪与企业合规（4篇）：</w:t>
      </w:r>
      <w:r>
        <w:t>单位犯罪废止论的提出引发理论争鸣，民营经济刑法保护受到高度关注。</w:t>
      </w:r>
    </w:p>
    <w:p>
      <w:pPr>
        <w:pStyle w:val="Heading1"/>
      </w:pPr>
      <w:r>
        <w:t>六、法学三大刊泛刑法研究专栏</w:t>
      </w:r>
    </w:p>
    <w:p>
      <w:pPr>
        <w:ind w:firstLine="420"/>
      </w:pPr>
      <w:r>
        <w:t>《中国社会科学》《中国法学》《法学研究》作为中国法学界最具权威性和引领性的三大期刊，其泛刑法研究的选题方向、方法论偏好和学术深度对整个学科具有风向标意义。本部分对三大刊2025年度泛刑法研究进行专门分析。</w:t>
      </w:r>
    </w:p>
    <w:p>
      <w:pPr>
        <w:pStyle w:val="Heading2"/>
      </w:pPr>
      <w:r>
        <w:t>（一）《中国社会科学》</w:t>
      </w:r>
    </w:p>
    <w:p>
      <w:pPr>
        <w:ind w:firstLine="420"/>
      </w:pPr>
      <w:r>
        <w:t>《中国社会科学》2025年度共发表论文17篇，其中泛刑法相关文章4篇，占比23.5%。</w:t>
      </w:r>
    </w:p>
    <w:p>
      <w:pPr>
        <w:ind w:firstLine="420"/>
      </w:pPr>
      <w:r>
        <w:t>主要文章包括：《中国刑法理论的体系性与妥当性》；《社会治理视角下刑法归责模式的现代转型》；《殖民话语与近代英美在华“管辖权政治”》；《生态环境刑法立法的内在构造》。</w:t>
      </w:r>
    </w:p>
    <w:p>
      <w:pPr>
        <w:ind w:firstLine="420"/>
      </w:pPr>
      <w:r>
        <w:t>研究方法分布：未明确标注（4篇）。</w:t>
      </w:r>
    </w:p>
    <w:p>
      <w:pPr>
        <w:ind w:firstLine="420"/>
      </w:pPr>
      <w:r>
        <w:t>主题分布：中国·检察·体系（3篇）、归责理论（1篇）。</w:t>
      </w:r>
    </w:p>
    <w:p>
      <w:pPr>
        <w:pStyle w:val="Heading2"/>
      </w:pPr>
      <w:r>
        <w:t>（二）《中国法学》</w:t>
      </w:r>
    </w:p>
    <w:p>
      <w:pPr>
        <w:ind w:firstLine="420"/>
      </w:pPr>
      <w:r>
        <w:t>《中国法学》2025年度共发表论文90篇，其中泛刑法相关文章21篇，占比23.3%。</w:t>
      </w:r>
    </w:p>
    <w:p>
      <w:pPr>
        <w:ind w:firstLine="420"/>
      </w:pPr>
      <w:r>
        <w:t>主要文章包括：《电子证据痕迹效应理论及其运用》；《财产犯罪中利益转移的要件重构：从物的占有到债的实现》；《论规范归咎刑事责任范型》；《从形式法典化到实质法典化：刑事诉讼法的法典化进阶》；《中国刑事司法治理的传统范式及其现代意蕴》；《机动侦查权的理论新释与程序设计》；《论网络聚合犯罪的刑法规制》；《区分自然犯与法定犯的新标准：主体性法益／主体间性法益》等。</w:t>
      </w:r>
    </w:p>
    <w:p>
      <w:pPr>
        <w:ind w:firstLine="420"/>
      </w:pPr>
      <w:r>
        <w:t>研究方法分布：未明确标注（18篇）、规范建构（1篇）、跨学科（1篇）。</w:t>
      </w:r>
    </w:p>
    <w:p>
      <w:pPr>
        <w:ind w:firstLine="420"/>
      </w:pPr>
      <w:r>
        <w:t>主题分布：中国·检察·体系（4篇）、刑事证据（3篇）、行刑衔接（3篇）、财产犯罪（2篇）、归责理论（2篇）。</w:t>
      </w:r>
    </w:p>
    <w:p>
      <w:pPr>
        <w:pStyle w:val="Heading2"/>
      </w:pPr>
      <w:r>
        <w:t>（三）《法学研究》</w:t>
      </w:r>
    </w:p>
    <w:p>
      <w:pPr>
        <w:ind w:firstLine="420"/>
      </w:pPr>
      <w:r>
        <w:t>《法学研究》2025年度共发表论文73篇，其中泛刑法相关文章15篇，占比20.5%。</w:t>
      </w:r>
    </w:p>
    <w:p>
      <w:pPr>
        <w:ind w:firstLine="420"/>
      </w:pPr>
      <w:r>
        <w:t>主要文章包括：《要素市场中企业数据的法益识别与刑法保护》；《人工智能对刑事证明结构的影响及其制度因应》；《论电子证据体系原理》；《我国轻微犯罪记录封存制度构建研究》；《论包括一罪的构造——以涉及同一罪名的情形为检验素材》；《财产损害与盗窃罪认定》；《财产性判项与减刑假释关联机制改革实效评估》；《犯罪追诉数字化背景下嫌疑判断的演化与程序法规制的因应》等。</w:t>
      </w:r>
    </w:p>
    <w:p>
      <w:pPr>
        <w:ind w:firstLine="420"/>
      </w:pPr>
      <w:r>
        <w:t>研究方法分布：未明确标注（12篇）、实证研究（2篇）、法教义学（1篇）。</w:t>
      </w:r>
    </w:p>
    <w:p>
      <w:pPr>
        <w:ind w:firstLine="420"/>
      </w:pPr>
      <w:r>
        <w:t>主题分布：数据与个人信息（2篇）、轻微·犯罪记录封存·封存（2篇）、财产犯罪（2篇）、认罪认罚（2篇）、归责理论（2篇）。</w:t>
      </w:r>
    </w:p>
    <w:p>
      <w:pPr>
        <w:pStyle w:val="Heading2"/>
      </w:pPr>
      <w:r>
        <w:t>（四）三大刊的引领作用与选题差异</w:t>
      </w:r>
    </w:p>
    <w:p>
      <w:pPr>
        <w:ind w:firstLine="420"/>
      </w:pPr>
      <w:r>
        <w:t>三大刊合计发表泛刑法文章40篇，占全部395篇的10.1%。从选题特色看，《中国社会科学》以其跨学科定位，偏重具有宏观理论意义的刑法议题；《中国法学》在选题上最为全面，几乎覆盖年度所有重要方向，且文章理论深度突出；《法学研究》则在教义学精细化和理论创新方面保持一贯优势。三大刊与其他期刊的显著差异在于：其选题更具前瞻性和引领性，往往早于专业期刊关注新兴议题，并为后续研究设定了学术议程。</w:t>
      </w:r>
    </w:p>
    <w:p>
      <w:pPr>
        <w:pStyle w:val="Heading1"/>
      </w:pPr>
      <w:r>
        <w:t>七、期刊横向比较</w:t>
      </w:r>
    </w:p>
    <w:p>
      <w:pPr>
        <w:jc w:val="center"/>
      </w:pPr>
      <w:r>
        <w:drawing>
          <wp:inline xmlns:a="http://schemas.openxmlformats.org/drawingml/2006/main" xmlns:pic="http://schemas.openxmlformats.org/drawingml/2006/picture">
            <wp:extent cx="5303520" cy="370298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3702981"/>
                    </a:xfrm>
                    <a:prstGeom prst="rect"/>
                  </pic:spPr>
                </pic:pic>
              </a:graphicData>
            </a:graphic>
          </wp:inline>
        </w:drawing>
      </w:r>
    </w:p>
    <w:p>
      <w:pPr>
        <w:jc w:val="center"/>
      </w:pPr>
      <w:r>
        <w:rPr>
          <w:b/>
          <w:sz w:val="20"/>
        </w:rPr>
        <w:t>图6  期刊×主题热力图</w:t>
      </w:r>
    </w:p>
    <w:p>
      <w:pPr>
        <w:pStyle w:val="Heading2"/>
      </w:pPr>
      <w:r>
        <w:t>（一）选题偏好差异</w:t>
      </w:r>
    </w:p>
    <w:p>
      <w:pPr>
        <w:ind w:firstLine="420"/>
      </w:pPr>
      <w:r>
        <w:t>热力图直观展示了各期刊在不同研究主题上的分布差异。从Herfindahl指数（主题集中度）来看，主题最为集中的期刊包括《中国社会科学》（0.625）、《法制与社会发展》（0.240）、《华东政法大学学报》（0.197），表明这些期刊的泛刑法研究聚焦于少数特定方向。而主题最为分散的期刊包括《法学论坛》（0.097）、《法学》（0.099）、《政治与法律》（0.107），反映了更强的综合性。</w:t>
      </w:r>
    </w:p>
    <w:p>
      <w:pPr>
        <w:pStyle w:val="Heading2"/>
      </w:pPr>
      <w:r>
        <w:t>（二）期刊相似度分析</w:t>
      </w:r>
    </w:p>
    <w:p>
      <w:pPr>
        <w:ind w:firstLine="420"/>
      </w:pPr>
      <w:r>
        <w:t>基于主题分布的余弦相似度分析显示，选题最为接近的期刊对包括：《法学》与《中国法学》（0.917）；《政治与法律》与《政法论坛》（0.866）；《法学》与《政法论坛》（0.863）；《政法论坛》与《中国法学》（0.861）；《政治与法律》与《环球法律评论》（0.824）。这些期刊在泛刑法研究的选题方向上具有较高的替代性。相反，选题差异最大的期刊对包括《华东政法大学学报》与《中国法律评论》、《华东政法大学学报》与《中国社会科学》、《中国法律评论》与《中国社会科学》，反映了不同的学术定位和编辑策略。</w:t>
      </w:r>
    </w:p>
    <w:p>
      <w:pPr>
        <w:pStyle w:val="Heading1"/>
      </w:pPr>
      <w:r>
        <w:t>八、研究方法论分析</w:t>
      </w:r>
    </w:p>
    <w:p>
      <w:pPr>
        <w:jc w:val="center"/>
      </w:pPr>
      <w:r>
        <w:drawing>
          <wp:inline xmlns:a="http://schemas.openxmlformats.org/drawingml/2006/main" xmlns:pic="http://schemas.openxmlformats.org/drawingml/2006/picture">
            <wp:extent cx="4114800" cy="427098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4270982"/>
                    </a:xfrm>
                    <a:prstGeom prst="rect"/>
                  </pic:spPr>
                </pic:pic>
              </a:graphicData>
            </a:graphic>
          </wp:inline>
        </w:drawing>
      </w:r>
    </w:p>
    <w:p>
      <w:pPr>
        <w:jc w:val="center"/>
      </w:pPr>
      <w:r>
        <w:rPr>
          <w:b/>
          <w:sz w:val="20"/>
        </w:rPr>
        <w:t>图7  研究方法论分布</w:t>
      </w:r>
    </w:p>
    <w:p>
      <w:pPr>
        <w:pStyle w:val="Heading2"/>
      </w:pPr>
      <w:r>
        <w:t>（一）方法论总体分布</w:t>
      </w:r>
    </w:p>
    <w:p>
      <w:pPr>
        <w:ind w:firstLine="420"/>
      </w:pPr>
      <w:r>
        <w:t>本报告通过扫描摘要中的方法论句式（如“以XX份裁判文书为样本”“从比较法视角”等）和全文章节标题中的方法论标志（如“实证分析”“域外考察”等），从395篇泛刑法文章中提取研究方法论信息。检测结果如下：实证研究（40篇，10.1%）、法教义学（35篇，8.9%）、比较法（20篇，5.1%）、规范建构（10篇，2.5%）、跨学科（5篇，1.3%）。</w:t>
      </w:r>
    </w:p>
    <w:p>
      <w:pPr>
        <w:ind w:firstLine="420"/>
      </w:pPr>
      <w:r>
        <w:t>另有292篇文章（73.9%）在摘要和章节标题中未出现明确的方法论标志词。这些文章多数可能采用了法教义学方法进行规范分析，但因其摘要未明确表述方法论取向，本报告不作推定，仅标记为“未明确标注”。</w:t>
      </w:r>
    </w:p>
    <w:p>
      <w:pPr>
        <w:ind w:firstLine="420"/>
      </w:pPr>
      <w:r>
        <w:t>需要说明的是，同一篇文章可能兼用多种方法，因此各类方法的文章数之和大于总数。此外，方法论检测依赖于摘要和章节标题中的文本信号，对于未在摘要中阐述方法论的文章可能存在遗漏。</w:t>
      </w:r>
    </w:p>
    <w:p>
      <w:pPr>
        <w:pStyle w:val="Heading2"/>
      </w:pPr>
      <w:r>
        <w:t>（二）方法论融合趋势</w:t>
      </w:r>
    </w:p>
    <w:p>
      <w:pPr>
        <w:ind w:firstLine="420"/>
      </w:pPr>
      <w:r>
        <w:t>共有7篇文章（1.8%）在摘要或章节标题中同时体现了两种及以上研究方法。从已检出的方法组合来看，“实证研究+比较法”“法教义学+比较法”等组合较为常见，体现了方法论融合的趋势。</w:t>
      </w:r>
    </w:p>
    <w:p>
      <w:pPr>
        <w:pStyle w:val="Heading1"/>
      </w:pPr>
      <w:r>
        <w:t>九、2025年度泛刑法研究的五大趋势与前瞻</w:t>
      </w:r>
    </w:p>
    <w:p>
      <w:pPr>
        <w:pStyle w:val="Heading2"/>
      </w:pPr>
      <w:r>
        <w:t>（一）从"治罪"到"治理"的范式转换加速</w:t>
      </w:r>
    </w:p>
    <w:p>
      <w:pPr>
        <w:ind w:firstLine="420"/>
      </w:pPr>
      <w:r>
        <w:t>轻罪治理的27篇文章、犯罪记录封存的系列文章、行刑反向衔接研究共同表明，刑法研究正从单纯的“定罪量刑”向“社会治理”视角全面转型。“出罪”成为高频词，这在以往CLSCI研究中并不常见。这一趋势与轻罪案件已占刑事案件总量80%以上的现实背景密切相关。</w:t>
      </w:r>
    </w:p>
    <w:p>
      <w:pPr>
        <w:pStyle w:val="Heading2"/>
      </w:pPr>
      <w:r>
        <w:t>（二）数字时代刑法研究的全面展开</w:t>
      </w:r>
    </w:p>
    <w:p>
      <w:pPr>
        <w:ind w:firstLine="420"/>
      </w:pPr>
      <w:r>
        <w:t>人工智能、数据犯罪、数字化转型三个板块合计超过38篇。从刑事实体法到程序法，数字技术的影响已渗透到刑事法的每一个环节。大模型（LLM）在司法中的应用是2025年的全新增长点。</w:t>
      </w:r>
    </w:p>
    <w:p>
      <w:pPr>
        <w:pStyle w:val="Heading2"/>
      </w:pPr>
      <w:r>
        <w:t>（三）刑事诉讼法修改催生程序法研究高潮</w:t>
      </w:r>
    </w:p>
    <w:p>
      <w:pPr>
        <w:ind w:firstLine="420"/>
      </w:pPr>
      <w:r>
        <w:t>刑事诉讼法第四次修改的8篇相关文章，加上认罪认罚、量刑协商、侦查制度等议题，程序法研究出现系统性爆发。这一趋势将在未来1–2年进一步强化。</w:t>
      </w:r>
    </w:p>
    <w:p>
      <w:pPr>
        <w:pStyle w:val="Heading2"/>
      </w:pPr>
      <w:r>
        <w:t>（四）研究方法的多元化趋势</w:t>
      </w:r>
    </w:p>
    <w:p>
      <w:pPr>
        <w:ind w:firstLine="420"/>
      </w:pPr>
      <w:r>
        <w:t>从摘要和章节标题的检测来看，实证研究（40篇）和比较法（20篇）在泛刑法研究中有较为可见的运用。7篇文章在摘要中同时体现了两种及以上研究方法。教义学与实证方法的结合正成为高质量研究的新标准。</w:t>
      </w:r>
    </w:p>
    <w:p>
      <w:pPr>
        <w:pStyle w:val="Heading2"/>
      </w:pPr>
      <w:r>
        <w:t>（五）交叉领域研究的制度化</w:t>
      </w:r>
    </w:p>
    <w:p>
      <w:pPr>
        <w:ind w:firstLine="420"/>
      </w:pPr>
      <w:r>
        <w:t>行刑衔接（24篇）、刑民交叉、监检衔接等交叉领域上升为独立学术方向。法秩序统一性视角下的跨部门法研究已实现制度化，要求研究者具备更宽广的知识视野和更强的跨学科对话能力。</w:t>
      </w:r>
    </w:p>
    <w:p>
      <w:pPr>
        <w:pStyle w:val="Heading1"/>
      </w:pPr>
      <w:r>
        <w:t>十、选题方向与写作策略建议</w:t>
      </w:r>
    </w:p>
    <w:p>
      <w:pPr>
        <w:ind w:firstLine="420"/>
      </w:pPr>
      <w:r>
        <w:t>本部分是本报告的核心建议章节。基于前述对395篇泛刑法文章的系统分析，结合2025年度优秀范文的写作策略考察，为研究者提供选题方向与写作方法论的参考。</w:t>
      </w:r>
    </w:p>
    <w:p>
      <w:pPr>
        <w:pStyle w:val="Heading2"/>
      </w:pPr>
      <w:r>
        <w:t>（一）高潜力选题方向</w:t>
      </w:r>
    </w:p>
    <w:p>
      <w:pPr>
        <w:ind w:firstLine="420"/>
      </w:pPr>
      <w:r>
        <w:t>基于上述分析，以下方向在2025-2026年具有较高的学术价值和发表潜力：</w:t>
      </w:r>
    </w:p>
    <w:p>
      <w:pPr>
        <w:ind w:firstLine="420"/>
      </w:pPr>
      <w:r>
        <w:rPr>
          <w:b/>
        </w:rPr>
        <w:t>1. 轻罪治理的体系化建构：</w:t>
      </w:r>
      <w:r>
        <w:t>犯罪记录封存的具体制度设计、轻罪前科消灭的条件与程序、轻罪与行政处罚的衔接机制等，理论空间大且实践需求迫切。</w:t>
      </w:r>
    </w:p>
    <w:p>
      <w:pPr>
        <w:ind w:firstLine="420"/>
      </w:pPr>
      <w:r>
        <w:rPr>
          <w:b/>
        </w:rPr>
        <w:t>2. 人工智能犯罪的归责体系：</w:t>
      </w:r>
      <w:r>
        <w:t>大模型生成有害内容的刑事责任分配、自动驾驶事故的过失认定、AI辅助犯罪的共犯论分析等，是理论前沿与技术发展的交汇点。</w:t>
      </w:r>
    </w:p>
    <w:p>
      <w:pPr>
        <w:ind w:firstLine="420"/>
      </w:pPr>
      <w:r>
        <w:rPr>
          <w:b/>
        </w:rPr>
        <w:t>3. 刑事诉讼法修改的具体制度完善：</w:t>
      </w:r>
      <w:r>
        <w:t>辩护制度、强制措施体系、涉外刑事诉讼程序等方向，具有直接的立法参考价值。</w:t>
      </w:r>
    </w:p>
    <w:p>
      <w:pPr>
        <w:ind w:firstLine="420"/>
      </w:pPr>
      <w:r>
        <w:rPr>
          <w:b/>
        </w:rPr>
        <w:t>4. 数据犯罪的刑法保护体系：</w:t>
      </w:r>
      <w:r>
        <w:t>数据法益的独立化、数据犯罪的类型区分、数据安全风险的刑法预防等。</w:t>
      </w:r>
    </w:p>
    <w:p>
      <w:pPr>
        <w:ind w:firstLine="420"/>
      </w:pPr>
      <w:r>
        <w:rPr>
          <w:b/>
        </w:rPr>
        <w:t>5. 行刑衔接的程序机制：</w:t>
      </w:r>
      <w:r>
        <w:t>反向衔接的具体操作规范、行政犯的实质认定标准、法秩序统一性下的违法判断等。</w:t>
      </w:r>
    </w:p>
    <w:p>
      <w:pPr>
        <w:ind w:firstLine="420"/>
      </w:pPr>
      <w:r>
        <w:rPr>
          <w:b/>
        </w:rPr>
        <w:t>6. 新型腐败行为的刑法规制：</w:t>
      </w:r>
      <w:r>
        <w:t>代持型受贿、商业机会型受贿、期权式腐败等新型腐败形态的定性与证明。</w:t>
      </w:r>
    </w:p>
    <w:p>
      <w:pPr>
        <w:ind w:firstLine="420"/>
      </w:pPr>
      <w:r>
        <w:rPr>
          <w:b/>
        </w:rPr>
        <w:t>7. 刑事证据规则的数字化转型：</w:t>
      </w:r>
      <w:r>
        <w:t>电子证据的审查标准、区块链存证的法律效力、大数据证据的证明力评价等。</w:t>
      </w:r>
    </w:p>
    <w:p>
      <w:pPr>
        <w:ind w:firstLine="420"/>
      </w:pPr>
      <w:r>
        <w:rPr>
          <w:b/>
        </w:rPr>
        <w:t>8. 刑法基础理论的知识体系更新：</w:t>
      </w:r>
      <w:r>
        <w:t>中国自主刑法学知识体系构建、犯罪论体系的本土化改造、法益理论的当代发展等。</w:t>
      </w:r>
    </w:p>
    <w:p>
      <w:pPr>
        <w:pStyle w:val="Heading2"/>
      </w:pPr>
      <w:r>
        <w:t>（二）CLSCI泛刑法论文写作策略：基于2025年度范文的分析</w:t>
      </w:r>
    </w:p>
    <w:p>
      <w:pPr>
        <w:ind w:firstLine="420"/>
      </w:pPr>
      <w:r>
        <w:t>2025年度CLSCI期刊发表的395篇泛刑法文章中，不乏值得学习借鉴的优秀之作。本部分从写作策略的角度遴选若干典型范文加以分析，旨在为研究者提供可操作的方法论参考。所选范文均来自2025年度CLSCI期刊公开发表的论文，分析基于其标题、摘要和目录信息。</w:t>
      </w:r>
    </w:p>
    <w:p>
      <w:pPr>
        <w:pStyle w:val="Heading3"/>
      </w:pPr>
      <w:r>
        <w:t>策略一：以精准的问题意识统领全文</w:t>
      </w:r>
    </w:p>
    <w:p>
      <w:pPr>
        <w:ind w:firstLine="420"/>
      </w:pPr>
      <w:r>
        <w:t>范文示例：《宪法人身自由权的刑事程序保护——宪法教义学视野下刑事强制措施的完善》（《清华法学》2期）。该文摘要开篇即点明研究问题：“《宪法》第37条第2款是有关如何限制公民人身自由权的规定。”</w:t>
      </w:r>
    </w:p>
    <w:p>
      <w:pPr>
        <w:ind w:firstLine="420"/>
      </w:pPr>
      <w:r>
        <w:t>这种写法的核心优势在于：标题直接传达研究贡献，摘要首句即交代理论或实践困境，使编辑和审稿人在最短时间内把握文章的核心价值。建议：避免“大而全”的宏观选题，聚焦一个具体而精准的核心问题深入展开。标题应直接体现研究问题和核心论点，而非仅仅描述研究对象。</w:t>
      </w:r>
    </w:p>
    <w:p>
      <w:pPr>
        <w:ind w:firstLine="420"/>
      </w:pPr>
      <w:r>
        <w:t>又如《结构主义视角下罚金刑裁量模式的重构》（《清华法学》3期），同样以问题导向为核心，从实践中的具体困境出发展开理论分析。</w:t>
      </w:r>
    </w:p>
    <w:p>
      <w:pPr>
        <w:pStyle w:val="Heading3"/>
      </w:pPr>
      <w:r>
        <w:t>策略二：教义学分析的精细化与体系化</w:t>
      </w:r>
    </w:p>
    <w:p>
      <w:pPr>
        <w:ind w:firstLine="420"/>
      </w:pPr>
      <w:r>
        <w:t>范文示例：《人工智能犯罪归责的行为主体论路径》（《法学家》6期）。</w:t>
      </w:r>
    </w:p>
    <w:p>
      <w:pPr>
        <w:ind w:firstLine="420"/>
      </w:pPr>
      <w:r>
        <w:t>该文的教义学分析路径值得借鉴。从摘要可以看出，文章“人工智能时代到来，刑法领域亟须建立适用于人工智能犯罪的归责规则。对于人工智能犯罪的归责，刑事责任主体论难以确定理论激活的时点，犯罪工具论无法充分回应人工智能自主性问题，二者均存在局限性。通过对犯罪主体概念不同层次的分离，在理论上可以探讨无刑事责任能力的人工智能成为行为主体的问题，从而在刑事责任主体论与犯罪工具论之外，扩展出具有衔接性价值的行为主体论的理论发展空间。我国刑法体系存在扩展行为主体概念的...”</w:t>
      </w:r>
    </w:p>
    <w:p>
      <w:pPr>
        <w:ind w:firstLine="420"/>
      </w:pPr>
      <w:r>
        <w:t>教义学精细化的要点在于：从概念界定出发，逐步构建解释方案，并在具体案型中检验解释方案的妥当性。建议：教义学分析不应止于概念推演，应紧密结合司法实践中的典型案例，体现理论对实务的指导价值。在CLSCI期刊中，“有案例支撑的教义学”比“纯概念推演”更受青睐。</w:t>
      </w:r>
    </w:p>
    <w:p>
      <w:pPr>
        <w:pStyle w:val="Heading3"/>
      </w:pPr>
      <w:r>
        <w:t>策略三：实证数据与规范分析的有机融合</w:t>
      </w:r>
    </w:p>
    <w:p>
      <w:pPr>
        <w:ind w:firstLine="420"/>
      </w:pPr>
      <w:r>
        <w:t>2025年度泛刑法文章中，经检测在标题、摘要或章节标题中明确体现实证方法特征的有40篇。此处“实证”特指基于裁判文书、统计数据、案例样本等进行定量或定性分析的研究，而非泛指“以数据为研究对象”的规范分析。</w:t>
      </w:r>
    </w:p>
    <w:p>
      <w:pPr>
        <w:ind w:firstLine="420"/>
      </w:pPr>
      <w:r>
        <w:t>范文示例：《监检衔接视角下职务犯罪指定管辖的实践检讨及程序优化》（《当代法学》第6期）。该文的实证特征体现为：标题含实证信号；章节设有实证分析；摘要提及实证方法。</w:t>
      </w:r>
    </w:p>
    <w:p>
      <w:pPr>
        <w:ind w:firstLine="420"/>
      </w:pPr>
      <w:r>
        <w:t>从全文目录可以看出其论证结构：“一、职务犯罪指定管辖率的实证研究与规范分析”。明确设有实证分析的专门章节，体现了“问题提出→实证考察→规范分析→制度优化”的写作路径。</w:t>
      </w:r>
    </w:p>
    <w:p>
      <w:pPr>
        <w:ind w:firstLine="420"/>
      </w:pPr>
      <w:r>
        <w:t>又如《撤回起诉作酌定不起诉的实证检视与制度矫正》（《政治与法律》第4期），标题含实证信号；章节设有实证分析。</w:t>
      </w:r>
    </w:p>
    <w:p>
      <w:pPr>
        <w:ind w:firstLine="420"/>
      </w:pPr>
      <w:r>
        <w:t>实证与规范融合的要点在于：用数据揭示问题的规模和特征，再用规范分析提出解决方案。建议：实证数据应为核心论点服务，避免“数据堆砌”。最佳模式是：提出问题→实证展示问题的规模与特征→规范分析→提出解决方案。在CLSCI期刊中，基于裁判文书大数据或司法实务调研的实证研究已成为重要的差异化竞争优势。</w:t>
      </w:r>
    </w:p>
    <w:p>
      <w:pPr>
        <w:pStyle w:val="Heading3"/>
      </w:pPr>
      <w:r>
        <w:t>策略四：比较法的深度运用与批判性借鉴</w:t>
      </w:r>
    </w:p>
    <w:p>
      <w:pPr>
        <w:ind w:firstLine="420"/>
      </w:pPr>
      <w:r>
        <w:t>2025年度涉及比较法的泛刑法文章有30篇。范文示例：《中国刑法学自主知识体系的内涵阐释与建构路径》（《中国法学》2期）。</w:t>
      </w:r>
    </w:p>
    <w:p>
      <w:pPr>
        <w:ind w:firstLine="420"/>
      </w:pPr>
      <w:r>
        <w:t>高质量比较法研究的要点在于：不止于域外制度的介绍，更应深入分析制度差异背后的法理逻辑，并评估域外经验在中国语境下的适用性。建议：比较法应服务于中国问题的解决，采取“问题导向”而非“制度导向”的比较路径。具体而言，应先确立中国法上的问题，再有针对性地引入域外经验，最后回到中国语境评估借鉴的可行性和必要调适。</w:t>
      </w:r>
    </w:p>
    <w:p>
      <w:pPr>
        <w:ind w:firstLine="420"/>
      </w:pPr>
      <w:r>
        <w:t>又如《逮捕社会危险性量化评估改革实践的理论反思》（《中外法学》5期），在比较法运用上也体现了类似的批判性借鉴思路。</w:t>
      </w:r>
    </w:p>
    <w:p>
      <w:pPr>
        <w:pStyle w:val="Heading3"/>
      </w:pPr>
      <w:r>
        <w:t>策略五：回应立法政策动态的学术贡献</w:t>
      </w:r>
    </w:p>
    <w:p>
      <w:pPr>
        <w:ind w:firstLine="420"/>
      </w:pPr>
      <w:r>
        <w:t>范文示例：《论驳回公诉制度及其在我国刑事诉讼中的引入》（《法学研究》1期）。</w:t>
      </w:r>
    </w:p>
    <w:p>
      <w:pPr>
        <w:ind w:firstLine="420"/>
      </w:pPr>
      <w:r>
        <w:t>回应立法政策的写作要点在于：既要有扎实的理论分析为基础，又要能提出具体可操作的政策建议。建议：密切关注正在推进的立法修改（如刑事诉讼法第四次修改）、司法解释的出台和修订、以及最高人民法院和最高人民检察院的指导性案例，以确保研究成果具有直接的制度参考价值。时效性与学术深度并重是此类文章的关键。</w:t>
      </w:r>
    </w:p>
    <w:p>
      <w:pPr>
        <w:ind w:firstLine="420"/>
      </w:pPr>
      <w:r>
        <w:t>又如《论中国刑法上的“二阶刑事违法”》（《中国法学》2期），同样展示了学术研究回应立法需求的典型范式。</w:t>
      </w:r>
    </w:p>
    <w:p>
      <w:pPr>
        <w:pStyle w:val="Heading3"/>
      </w:pPr>
      <w:r>
        <w:t>策略六：标题设计的艺术</w:t>
      </w:r>
    </w:p>
    <w:p>
      <w:pPr>
        <w:ind w:firstLine="420"/>
      </w:pPr>
      <w:r>
        <w:t>标题是文章给编辑和读者的第一印象，其设计至关重要。对2025年度395篇泛刑法文章标题的统计分析显示：平均标题长度为18.5个字符；采用主副标题结构（含破折号或冒号）的有81篇（20.5%）；以“论”字开头的有58篇。</w:t>
      </w:r>
    </w:p>
    <w:p>
      <w:pPr>
        <w:ind w:firstLine="420"/>
      </w:pPr>
      <w:r>
        <w:t>有效标题的常见模式包括：（1）“核心概念+分析角度”型，如直接点明研究对象和分析视角；（2）“问题+方案”型，如标题中同时包含问题识别和解决方向；（3）“主标题——副标题”型，主标题概括核心论点，副标题限定研究范围或方法。</w:t>
      </w:r>
    </w:p>
    <w:p>
      <w:pPr>
        <w:ind w:firstLine="420"/>
      </w:pPr>
      <w:r>
        <w:t>建议避免的标题问题：过于宽泛（如“论XX的完善”）、缺乏信息量（如仅罗列研究对象而无分析角度）、过于冗长（超过30字）。最佳标题应在15-25字之间，既能传达核心论点，又能激发阅读兴趣。</w:t>
      </w:r>
    </w:p>
    <w:p>
      <w:pPr>
        <w:pStyle w:val="Heading3"/>
      </w:pPr>
      <w:r>
        <w:t>策略七：投稿策略与期刊匹配</w:t>
      </w:r>
    </w:p>
    <w:p>
      <w:pPr>
        <w:ind w:firstLine="420"/>
      </w:pPr>
      <w:r>
        <w:t>基于前述期刊画像数据，为研究者提供投稿方向建议：</w:t>
      </w:r>
    </w:p>
    <w:p>
      <w:pPr>
        <w:ind w:firstLine="420"/>
      </w:pPr>
      <w:r>
        <w:rPr>
          <w:b/>
        </w:rPr>
        <w:t>偏重刑法基础理论：</w:t>
      </w:r>
      <w:r>
        <w:t>《中国法学》《法学研究》《中外法学》对基础理论文章的接受度较高，但要求极高的理论创新性和体系化程度。</w:t>
      </w:r>
    </w:p>
    <w:p>
      <w:pPr>
        <w:ind w:firstLine="420"/>
      </w:pPr>
      <w:r>
        <w:rPr>
          <w:b/>
        </w:rPr>
        <w:t>侧重刑事政策与制度完善：</w:t>
      </w:r>
      <w:r>
        <w:t>《法学》《政治与法律》《法学论坛》对政策导向型研究较为友好，文章应紧密结合实务问题。</w:t>
      </w:r>
    </w:p>
    <w:p>
      <w:pPr>
        <w:ind w:firstLine="420"/>
      </w:pPr>
      <w:r>
        <w:rPr>
          <w:b/>
        </w:rPr>
        <w:t>聚焦刑事诉讼与证据：</w:t>
      </w:r>
      <w:r>
        <w:t>《中国刑事法杂志》《华东政法大学学报》《法学评论》在程序法领域有较多选稿。</w:t>
      </w:r>
    </w:p>
    <w:p>
      <w:pPr>
        <w:ind w:firstLine="420"/>
      </w:pPr>
      <w:r>
        <w:rPr>
          <w:b/>
        </w:rPr>
        <w:t>跨学科或新兴议题：</w:t>
      </w:r>
      <w:r>
        <w:t>《法制与社会发展》《环球法律评论》对跨学科视角和域外经验有独特偏好。</w:t>
      </w:r>
    </w:p>
    <w:p>
      <w:pPr>
        <w:ind w:firstLine="420"/>
      </w:pPr>
      <w:r>
        <w:rPr>
          <w:b/>
        </w:rPr>
        <w:t>经济刑法与反腐败：</w:t>
      </w:r>
      <w:r>
        <w:t>《清华法学》《政法论坛》近年来对经济刑法的关注度较高，受贿罪、洗钱罪等选题的投稿命中率较高。</w:t>
      </w:r>
    </w:p>
    <w:p>
      <w:pPr>
        <w:ind w:firstLine="420"/>
      </w:pPr>
      <w:r>
        <w:t>总之，投稿策略的核心是“知己知彼”——了解自己论文的特色和优势，匹配目标期刊的选题偏好和方法论传统。建议研究者在投稿前系统翻阅目标期刊近两年的目录，了解其选稿倾向和编辑风格。</w:t>
      </w:r>
    </w:p>
    <w:p>
      <w:pPr>
        <w:pStyle w:val="Heading1"/>
      </w:pPr>
      <w:r>
        <w:t>十一、结语</w:t>
      </w:r>
    </w:p>
    <w:p>
      <w:pPr>
        <w:ind w:firstLine="420"/>
      </w:pPr>
      <w:r>
        <w:t>2025年度CLSCI期刊共发表泛刑法相关文章395篇，占全部1581篇论文的25.0%。本报告运用NLP文本挖掘技术和多维统计分析方法，系统呈现了本年度泛刑法研究的全景图。</w:t>
      </w:r>
    </w:p>
    <w:p>
      <w:pPr>
        <w:ind w:firstLine="420"/>
      </w:pPr>
      <w:r>
        <w:t>本年度的研究呈现出从“治罪”到“治理”的范式转换、数字时代刑法研究的全面展开、刑事诉讼法修改推动的程序法研究高潮、教义学与实证方法的融合、以及交叉领域研究的制度化等五大趋势。轻罪治理（27篇）、经济刑法与反腐败（30篇）、行刑衔接（24篇）、人工智能与数据犯罪（38篇）、刑事证据制度（17篇）构成了年度五大热点专题群。</w:t>
      </w:r>
    </w:p>
    <w:p>
      <w:pPr>
        <w:ind w:firstLine="420"/>
      </w:pPr>
      <w:r>
        <w:t>从学科发展角度看，刑法学正处于重要转型期。一方面，以法益论和归责理论为核心的刑法教义学体系建设持续推进，中国自主刑法知识体系的构建成为学界的自觉追求；另一方面，数字技术革命、社会治理转型和立法修改的实践需求，不断拓展着刑法研究的问题域和方法论。如何在坚持教义学品格的同时有效回应时代需求，是当前刑法学界面临的核心课题。</w:t>
      </w:r>
    </w:p>
    <w:p>
      <w:pPr>
        <w:ind w:firstLine="420"/>
      </w:pPr>
      <w:r>
        <w:t>本报告基于对20种CLSCI期刊的全量数据采集与NLP文本分析，力图为刑法学界的研究者、学术期刊编辑以及法学院校的学科建设提供数据化参考。受限于NLP方法的固有局限，主题聚类和方法论检测的结果可能存在偏差，这些问题留待后续研究进一步完善。</w:t>
      </w:r>
    </w:p>
    <w:p>
      <w:r>
        <w:br w:type="page"/>
      </w:r>
    </w:p>
    <w:p>
      <w:pPr>
        <w:pStyle w:val="Heading1"/>
      </w:pPr>
      <w:r>
        <w:t>附录</w:t>
      </w:r>
    </w:p>
    <w:p>
      <w:pPr>
        <w:pStyle w:val="Heading2"/>
      </w:pPr>
      <w:r>
        <w:t>附录A：NMF主题聚类关键词一览</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8"/>
              </w:rPr>
              <w:t>主题编号</w:t>
            </w:r>
          </w:p>
        </w:tc>
        <w:tc>
          <w:tcPr>
            <w:tcW w:type="dxa" w:w="2880"/>
          </w:tcPr>
          <w:p>
            <w:r>
              <w:rPr>
                <w:sz w:val="18"/>
              </w:rPr>
              <w:t>主题标签</w:t>
            </w:r>
          </w:p>
        </w:tc>
        <w:tc>
          <w:tcPr>
            <w:tcW w:type="dxa" w:w="2880"/>
          </w:tcPr>
          <w:p>
            <w:r>
              <w:rPr>
                <w:sz w:val="18"/>
              </w:rPr>
              <w:t>核心关键词</w:t>
            </w:r>
          </w:p>
        </w:tc>
      </w:tr>
      <w:tr>
        <w:tc>
          <w:tcPr>
            <w:tcW w:type="dxa" w:w="2880"/>
          </w:tcPr>
          <w:p>
            <w:r>
              <w:rPr>
                <w:sz w:val="18"/>
              </w:rPr>
              <w:t>T1</w:t>
            </w:r>
          </w:p>
        </w:tc>
        <w:tc>
          <w:tcPr>
            <w:tcW w:type="dxa" w:w="2880"/>
          </w:tcPr>
          <w:p>
            <w:r>
              <w:rPr>
                <w:sz w:val="18"/>
              </w:rPr>
              <w:t>法益理论</w:t>
            </w:r>
          </w:p>
        </w:tc>
        <w:tc>
          <w:tcPr>
            <w:tcW w:type="dxa" w:w="2880"/>
          </w:tcPr>
          <w:p>
            <w:r>
              <w:rPr>
                <w:sz w:val="18"/>
              </w:rPr>
              <w:t>法益、立法、抽象危险犯、危险、保护、行为、解释、秩序</w:t>
            </w:r>
          </w:p>
        </w:tc>
      </w:tr>
      <w:tr>
        <w:tc>
          <w:tcPr>
            <w:tcW w:type="dxa" w:w="2880"/>
          </w:tcPr>
          <w:p>
            <w:r>
              <w:rPr>
                <w:sz w:val="18"/>
              </w:rPr>
              <w:t>T2</w:t>
            </w:r>
          </w:p>
        </w:tc>
        <w:tc>
          <w:tcPr>
            <w:tcW w:type="dxa" w:w="2880"/>
          </w:tcPr>
          <w:p>
            <w:r>
              <w:rPr>
                <w:sz w:val="18"/>
              </w:rPr>
              <w:t>刑事证据</w:t>
            </w:r>
          </w:p>
        </w:tc>
        <w:tc>
          <w:tcPr>
            <w:tcW w:type="dxa" w:w="2880"/>
          </w:tcPr>
          <w:p>
            <w:r>
              <w:rPr>
                <w:sz w:val="18"/>
              </w:rPr>
              <w:t>证据、证明、刑事证据、事实、审查、规范、合法性、标准</w:t>
            </w:r>
          </w:p>
        </w:tc>
      </w:tr>
      <w:tr>
        <w:tc>
          <w:tcPr>
            <w:tcW w:type="dxa" w:w="2880"/>
          </w:tcPr>
          <w:p>
            <w:r>
              <w:rPr>
                <w:sz w:val="18"/>
              </w:rPr>
              <w:t>T3</w:t>
            </w:r>
          </w:p>
        </w:tc>
        <w:tc>
          <w:tcPr>
            <w:tcW w:type="dxa" w:w="2880"/>
          </w:tcPr>
          <w:p>
            <w:r>
              <w:rPr>
                <w:sz w:val="18"/>
              </w:rPr>
              <w:t>数据与个人信息</w:t>
            </w:r>
          </w:p>
        </w:tc>
        <w:tc>
          <w:tcPr>
            <w:tcW w:type="dxa" w:w="2880"/>
          </w:tcPr>
          <w:p>
            <w:r>
              <w:rPr>
                <w:sz w:val="18"/>
              </w:rPr>
              <w:t>数据、保护、企业、信息、数据犯罪、产品、环境、商业</w:t>
            </w:r>
          </w:p>
        </w:tc>
      </w:tr>
      <w:tr>
        <w:tc>
          <w:tcPr>
            <w:tcW w:type="dxa" w:w="2880"/>
          </w:tcPr>
          <w:p>
            <w:r>
              <w:rPr>
                <w:sz w:val="18"/>
              </w:rPr>
              <w:t>T4</w:t>
            </w:r>
          </w:p>
        </w:tc>
        <w:tc>
          <w:tcPr>
            <w:tcW w:type="dxa" w:w="2880"/>
          </w:tcPr>
          <w:p>
            <w:r>
              <w:rPr>
                <w:sz w:val="18"/>
              </w:rPr>
              <w:t>财产犯罪</w:t>
            </w:r>
          </w:p>
        </w:tc>
        <w:tc>
          <w:tcPr>
            <w:tcW w:type="dxa" w:w="2880"/>
          </w:tcPr>
          <w:p>
            <w:r>
              <w:rPr>
                <w:sz w:val="18"/>
              </w:rPr>
              <w:t>财产、诈骗罪、财物、诈骗、行为、财产损失、利益、财产性</w:t>
            </w:r>
          </w:p>
        </w:tc>
      </w:tr>
      <w:tr>
        <w:tc>
          <w:tcPr>
            <w:tcW w:type="dxa" w:w="2880"/>
          </w:tcPr>
          <w:p>
            <w:r>
              <w:rPr>
                <w:sz w:val="18"/>
              </w:rPr>
              <w:t>T5</w:t>
            </w:r>
          </w:p>
        </w:tc>
        <w:tc>
          <w:tcPr>
            <w:tcW w:type="dxa" w:w="2880"/>
          </w:tcPr>
          <w:p>
            <w:r>
              <w:rPr>
                <w:sz w:val="18"/>
              </w:rPr>
              <w:t>认罪认罚</w:t>
            </w:r>
          </w:p>
        </w:tc>
        <w:tc>
          <w:tcPr>
            <w:tcW w:type="dxa" w:w="2880"/>
          </w:tcPr>
          <w:p>
            <w:r>
              <w:rPr>
                <w:sz w:val="18"/>
              </w:rPr>
              <w:t>认罪认罚从宽、量刑、制度、认罪认罚、辩护、协商、程序、追诉</w:t>
            </w:r>
          </w:p>
        </w:tc>
      </w:tr>
      <w:tr>
        <w:tc>
          <w:tcPr>
            <w:tcW w:type="dxa" w:w="2880"/>
          </w:tcPr>
          <w:p>
            <w:r>
              <w:rPr>
                <w:sz w:val="18"/>
              </w:rPr>
              <w:t>T6</w:t>
            </w:r>
          </w:p>
        </w:tc>
        <w:tc>
          <w:tcPr>
            <w:tcW w:type="dxa" w:w="2880"/>
          </w:tcPr>
          <w:p>
            <w:r>
              <w:rPr>
                <w:sz w:val="18"/>
              </w:rPr>
              <w:t>AI与刑法</w:t>
            </w:r>
          </w:p>
        </w:tc>
        <w:tc>
          <w:tcPr>
            <w:tcW w:type="dxa" w:w="2880"/>
          </w:tcPr>
          <w:p>
            <w:r>
              <w:rPr>
                <w:sz w:val="18"/>
              </w:rPr>
              <w:t>人工智能、主体、生成式、技术、智能、刑事责任、算法、辅助</w:t>
            </w:r>
          </w:p>
        </w:tc>
      </w:tr>
      <w:tr>
        <w:tc>
          <w:tcPr>
            <w:tcW w:type="dxa" w:w="2880"/>
          </w:tcPr>
          <w:p>
            <w:r>
              <w:rPr>
                <w:sz w:val="18"/>
              </w:rPr>
              <w:t>T7</w:t>
            </w:r>
          </w:p>
        </w:tc>
        <w:tc>
          <w:tcPr>
            <w:tcW w:type="dxa" w:w="2880"/>
          </w:tcPr>
          <w:p>
            <w:r>
              <w:rPr>
                <w:sz w:val="18"/>
              </w:rPr>
              <w:t>中国·检察·体系</w:t>
            </w:r>
          </w:p>
        </w:tc>
        <w:tc>
          <w:tcPr>
            <w:tcW w:type="dxa" w:w="2880"/>
          </w:tcPr>
          <w:p>
            <w:r>
              <w:rPr>
                <w:sz w:val="18"/>
              </w:rPr>
              <w:t>中国、检察、体系、刑事、公益、自主、诉讼、法治</w:t>
            </w:r>
          </w:p>
        </w:tc>
      </w:tr>
      <w:tr>
        <w:tc>
          <w:tcPr>
            <w:tcW w:type="dxa" w:w="2880"/>
          </w:tcPr>
          <w:p>
            <w:r>
              <w:rPr>
                <w:sz w:val="18"/>
              </w:rPr>
              <w:t>T8</w:t>
            </w:r>
          </w:p>
        </w:tc>
        <w:tc>
          <w:tcPr>
            <w:tcW w:type="dxa" w:w="2880"/>
          </w:tcPr>
          <w:p>
            <w:r>
              <w:rPr>
                <w:sz w:val="18"/>
              </w:rPr>
              <w:t>轻罪治理</w:t>
            </w:r>
          </w:p>
        </w:tc>
        <w:tc>
          <w:tcPr>
            <w:tcW w:type="dxa" w:w="2880"/>
          </w:tcPr>
          <w:p>
            <w:r>
              <w:rPr>
                <w:sz w:val="18"/>
              </w:rPr>
              <w:t>轻罪、轻罪治理、治理、刑罚、立法、重罪、法定、预防</w:t>
            </w:r>
          </w:p>
        </w:tc>
      </w:tr>
      <w:tr>
        <w:tc>
          <w:tcPr>
            <w:tcW w:type="dxa" w:w="2880"/>
          </w:tcPr>
          <w:p>
            <w:r>
              <w:rPr>
                <w:sz w:val="18"/>
              </w:rPr>
              <w:t>T9</w:t>
            </w:r>
          </w:p>
        </w:tc>
        <w:tc>
          <w:tcPr>
            <w:tcW w:type="dxa" w:w="2880"/>
          </w:tcPr>
          <w:p>
            <w:r>
              <w:rPr>
                <w:sz w:val="18"/>
              </w:rPr>
              <w:t>归责理论</w:t>
            </w:r>
          </w:p>
        </w:tc>
        <w:tc>
          <w:tcPr>
            <w:tcW w:type="dxa" w:w="2880"/>
          </w:tcPr>
          <w:p>
            <w:r>
              <w:rPr>
                <w:sz w:val="18"/>
              </w:rPr>
              <w:t>归责、结果、过失、不法、行为、故意、义务、规范</w:t>
            </w:r>
          </w:p>
        </w:tc>
      </w:tr>
      <w:tr>
        <w:tc>
          <w:tcPr>
            <w:tcW w:type="dxa" w:w="2880"/>
          </w:tcPr>
          <w:p>
            <w:r>
              <w:rPr>
                <w:sz w:val="18"/>
              </w:rPr>
              <w:t>T10</w:t>
            </w:r>
          </w:p>
        </w:tc>
        <w:tc>
          <w:tcPr>
            <w:tcW w:type="dxa" w:w="2880"/>
          </w:tcPr>
          <w:p>
            <w:r>
              <w:rPr>
                <w:sz w:val="18"/>
              </w:rPr>
              <w:t>数字·个人信息·经济</w:t>
            </w:r>
          </w:p>
        </w:tc>
        <w:tc>
          <w:tcPr>
            <w:tcW w:type="dxa" w:w="2880"/>
          </w:tcPr>
          <w:p>
            <w:r>
              <w:rPr>
                <w:sz w:val="18"/>
              </w:rPr>
              <w:t>数字、个人信息、经济、时代、技术、金融、保护、治理</w:t>
            </w:r>
          </w:p>
        </w:tc>
      </w:tr>
      <w:tr>
        <w:tc>
          <w:tcPr>
            <w:tcW w:type="dxa" w:w="2880"/>
          </w:tcPr>
          <w:p>
            <w:r>
              <w:rPr>
                <w:sz w:val="18"/>
              </w:rPr>
              <w:t>T11</w:t>
            </w:r>
          </w:p>
        </w:tc>
        <w:tc>
          <w:tcPr>
            <w:tcW w:type="dxa" w:w="2880"/>
          </w:tcPr>
          <w:p>
            <w:r>
              <w:rPr>
                <w:sz w:val="18"/>
              </w:rPr>
              <w:t>行刑衔接</w:t>
            </w:r>
          </w:p>
        </w:tc>
        <w:tc>
          <w:tcPr>
            <w:tcW w:type="dxa" w:w="2880"/>
          </w:tcPr>
          <w:p>
            <w:r>
              <w:rPr>
                <w:sz w:val="18"/>
              </w:rPr>
              <w:t>行刑、行政、反向衔接、行政处罚、行刑衔接、刑事、衔接、制裁</w:t>
            </w:r>
          </w:p>
        </w:tc>
      </w:tr>
      <w:tr>
        <w:tc>
          <w:tcPr>
            <w:tcW w:type="dxa" w:w="2880"/>
          </w:tcPr>
          <w:p>
            <w:r>
              <w:rPr>
                <w:sz w:val="18"/>
              </w:rPr>
              <w:t>T12</w:t>
            </w:r>
          </w:p>
        </w:tc>
        <w:tc>
          <w:tcPr>
            <w:tcW w:type="dxa" w:w="2880"/>
          </w:tcPr>
          <w:p>
            <w:r>
              <w:rPr>
                <w:sz w:val="18"/>
              </w:rPr>
              <w:t>贿赂犯罪</w:t>
            </w:r>
          </w:p>
        </w:tc>
        <w:tc>
          <w:tcPr>
            <w:tcW w:type="dxa" w:w="2880"/>
          </w:tcPr>
          <w:p>
            <w:r>
              <w:rPr>
                <w:sz w:val="18"/>
              </w:rPr>
              <w:t>受贿、受贿罪、工作人员、商业机会、职务、贿赂、行为、财物</w:t>
            </w:r>
          </w:p>
        </w:tc>
      </w:tr>
      <w:tr>
        <w:tc>
          <w:tcPr>
            <w:tcW w:type="dxa" w:w="2880"/>
          </w:tcPr>
          <w:p>
            <w:r>
              <w:rPr>
                <w:sz w:val="18"/>
              </w:rPr>
              <w:t>T13</w:t>
            </w:r>
          </w:p>
        </w:tc>
        <w:tc>
          <w:tcPr>
            <w:tcW w:type="dxa" w:w="2880"/>
          </w:tcPr>
          <w:p>
            <w:r>
              <w:rPr>
                <w:sz w:val="18"/>
              </w:rPr>
              <w:t>轻微·犯罪记录封存·封存</w:t>
            </w:r>
          </w:p>
        </w:tc>
        <w:tc>
          <w:tcPr>
            <w:tcW w:type="dxa" w:w="2880"/>
          </w:tcPr>
          <w:p>
            <w:r>
              <w:rPr>
                <w:sz w:val="18"/>
              </w:rPr>
              <w:t>轻微、犯罪记录封存、封存、制度、犯罪记录、记录、犯罪治理、未成年人</w:t>
            </w:r>
          </w:p>
        </w:tc>
      </w:tr>
      <w:tr>
        <w:tc>
          <w:tcPr>
            <w:tcW w:type="dxa" w:w="2880"/>
          </w:tcPr>
          <w:p>
            <w:r>
              <w:rPr>
                <w:sz w:val="18"/>
              </w:rPr>
              <w:t>T14</w:t>
            </w:r>
          </w:p>
        </w:tc>
        <w:tc>
          <w:tcPr>
            <w:tcW w:type="dxa" w:w="2880"/>
          </w:tcPr>
          <w:p>
            <w:r>
              <w:rPr>
                <w:sz w:val="18"/>
              </w:rPr>
              <w:t>侦查制度</w:t>
            </w:r>
          </w:p>
        </w:tc>
        <w:tc>
          <w:tcPr>
            <w:tcW w:type="dxa" w:w="2880"/>
          </w:tcPr>
          <w:p>
            <w:r>
              <w:rPr>
                <w:sz w:val="18"/>
              </w:rPr>
              <w:t>管辖、侦查、侦查权、指定、异地、企业、审判、刑事诉讼法</w:t>
            </w:r>
          </w:p>
        </w:tc>
      </w:tr>
      <w:tr>
        <w:tc>
          <w:tcPr>
            <w:tcW w:type="dxa" w:w="2880"/>
          </w:tcPr>
          <w:p>
            <w:r>
              <w:rPr>
                <w:sz w:val="18"/>
              </w:rPr>
              <w:t>T15</w:t>
            </w:r>
          </w:p>
        </w:tc>
        <w:tc>
          <w:tcPr>
            <w:tcW w:type="dxa" w:w="2880"/>
          </w:tcPr>
          <w:p>
            <w:r>
              <w:rPr>
                <w:sz w:val="18"/>
              </w:rPr>
              <w:t>网络犯罪治理</w:t>
            </w:r>
          </w:p>
        </w:tc>
        <w:tc>
          <w:tcPr>
            <w:tcW w:type="dxa" w:w="2880"/>
          </w:tcPr>
          <w:p>
            <w:r>
              <w:rPr>
                <w:sz w:val="18"/>
              </w:rPr>
              <w:t>网络暴力、网络、治理、组织、行为、聚合、侮辱、网络犯罪</w:t>
            </w:r>
          </w:p>
        </w:tc>
      </w:tr>
    </w:tbl>
    <w:p/>
    <w:p>
      <w:pPr>
        <w:pStyle w:val="Heading2"/>
      </w:pPr>
      <w:r>
        <w:t>附录B：Top 30 TF-IDF关键词</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8"/>
              </w:rPr>
              <w:t>排名</w:t>
            </w:r>
          </w:p>
        </w:tc>
        <w:tc>
          <w:tcPr>
            <w:tcW w:type="dxa" w:w="2880"/>
          </w:tcPr>
          <w:p>
            <w:r>
              <w:rPr>
                <w:sz w:val="18"/>
              </w:rPr>
              <w:t>关键词</w:t>
            </w:r>
          </w:p>
        </w:tc>
        <w:tc>
          <w:tcPr>
            <w:tcW w:type="dxa" w:w="2880"/>
          </w:tcPr>
          <w:p>
            <w:r>
              <w:rPr>
                <w:sz w:val="18"/>
              </w:rPr>
              <w:t>TF-IDF权重</w:t>
            </w:r>
          </w:p>
        </w:tc>
      </w:tr>
      <w:tr>
        <w:tc>
          <w:tcPr>
            <w:tcW w:type="dxa" w:w="2880"/>
          </w:tcPr>
          <w:p>
            <w:r>
              <w:rPr>
                <w:sz w:val="18"/>
              </w:rPr>
              <w:t>1</w:t>
            </w:r>
          </w:p>
        </w:tc>
        <w:tc>
          <w:tcPr>
            <w:tcW w:type="dxa" w:w="2880"/>
          </w:tcPr>
          <w:p>
            <w:r>
              <w:rPr>
                <w:sz w:val="18"/>
              </w:rPr>
              <w:t>行为</w:t>
            </w:r>
          </w:p>
        </w:tc>
        <w:tc>
          <w:tcPr>
            <w:tcW w:type="dxa" w:w="2880"/>
          </w:tcPr>
          <w:p>
            <w:r>
              <w:rPr>
                <w:sz w:val="18"/>
              </w:rPr>
              <w:t>0.03319</w:t>
            </w:r>
          </w:p>
        </w:tc>
      </w:tr>
      <w:tr>
        <w:tc>
          <w:tcPr>
            <w:tcW w:type="dxa" w:w="2880"/>
          </w:tcPr>
          <w:p>
            <w:r>
              <w:rPr>
                <w:sz w:val="18"/>
              </w:rPr>
              <w:t>2</w:t>
            </w:r>
          </w:p>
        </w:tc>
        <w:tc>
          <w:tcPr>
            <w:tcW w:type="dxa" w:w="2880"/>
          </w:tcPr>
          <w:p>
            <w:r>
              <w:rPr>
                <w:sz w:val="18"/>
              </w:rPr>
              <w:t>证据</w:t>
            </w:r>
          </w:p>
        </w:tc>
        <w:tc>
          <w:tcPr>
            <w:tcW w:type="dxa" w:w="2880"/>
          </w:tcPr>
          <w:p>
            <w:r>
              <w:rPr>
                <w:sz w:val="18"/>
              </w:rPr>
              <w:t>0.03187</w:t>
            </w:r>
          </w:p>
        </w:tc>
      </w:tr>
      <w:tr>
        <w:tc>
          <w:tcPr>
            <w:tcW w:type="dxa" w:w="2880"/>
          </w:tcPr>
          <w:p>
            <w:r>
              <w:rPr>
                <w:sz w:val="18"/>
              </w:rPr>
              <w:t>3</w:t>
            </w:r>
          </w:p>
        </w:tc>
        <w:tc>
          <w:tcPr>
            <w:tcW w:type="dxa" w:w="2880"/>
          </w:tcPr>
          <w:p>
            <w:r>
              <w:rPr>
                <w:sz w:val="18"/>
              </w:rPr>
              <w:t>刑事</w:t>
            </w:r>
          </w:p>
        </w:tc>
        <w:tc>
          <w:tcPr>
            <w:tcW w:type="dxa" w:w="2880"/>
          </w:tcPr>
          <w:p>
            <w:r>
              <w:rPr>
                <w:sz w:val="18"/>
              </w:rPr>
              <w:t>0.02897</w:t>
            </w:r>
          </w:p>
        </w:tc>
      </w:tr>
      <w:tr>
        <w:tc>
          <w:tcPr>
            <w:tcW w:type="dxa" w:w="2880"/>
          </w:tcPr>
          <w:p>
            <w:r>
              <w:rPr>
                <w:sz w:val="18"/>
              </w:rPr>
              <w:t>4</w:t>
            </w:r>
          </w:p>
        </w:tc>
        <w:tc>
          <w:tcPr>
            <w:tcW w:type="dxa" w:w="2880"/>
          </w:tcPr>
          <w:p>
            <w:r>
              <w:rPr>
                <w:sz w:val="18"/>
              </w:rPr>
              <w:t>数据</w:t>
            </w:r>
          </w:p>
        </w:tc>
        <w:tc>
          <w:tcPr>
            <w:tcW w:type="dxa" w:w="2880"/>
          </w:tcPr>
          <w:p>
            <w:r>
              <w:rPr>
                <w:sz w:val="18"/>
              </w:rPr>
              <w:t>0.02889</w:t>
            </w:r>
          </w:p>
        </w:tc>
      </w:tr>
      <w:tr>
        <w:tc>
          <w:tcPr>
            <w:tcW w:type="dxa" w:w="2880"/>
          </w:tcPr>
          <w:p>
            <w:r>
              <w:rPr>
                <w:sz w:val="18"/>
              </w:rPr>
              <w:t>5</w:t>
            </w:r>
          </w:p>
        </w:tc>
        <w:tc>
          <w:tcPr>
            <w:tcW w:type="dxa" w:w="2880"/>
          </w:tcPr>
          <w:p>
            <w:r>
              <w:rPr>
                <w:sz w:val="18"/>
              </w:rPr>
              <w:t>制度</w:t>
            </w:r>
          </w:p>
        </w:tc>
        <w:tc>
          <w:tcPr>
            <w:tcW w:type="dxa" w:w="2880"/>
          </w:tcPr>
          <w:p>
            <w:r>
              <w:rPr>
                <w:sz w:val="18"/>
              </w:rPr>
              <w:t>0.02704</w:t>
            </w:r>
          </w:p>
        </w:tc>
      </w:tr>
      <w:tr>
        <w:tc>
          <w:tcPr>
            <w:tcW w:type="dxa" w:w="2880"/>
          </w:tcPr>
          <w:p>
            <w:r>
              <w:rPr>
                <w:sz w:val="18"/>
              </w:rPr>
              <w:t>6</w:t>
            </w:r>
          </w:p>
        </w:tc>
        <w:tc>
          <w:tcPr>
            <w:tcW w:type="dxa" w:w="2880"/>
          </w:tcPr>
          <w:p>
            <w:r>
              <w:rPr>
                <w:sz w:val="18"/>
              </w:rPr>
              <w:t>法益</w:t>
            </w:r>
          </w:p>
        </w:tc>
        <w:tc>
          <w:tcPr>
            <w:tcW w:type="dxa" w:w="2880"/>
          </w:tcPr>
          <w:p>
            <w:r>
              <w:rPr>
                <w:sz w:val="18"/>
              </w:rPr>
              <w:t>0.02633</w:t>
            </w:r>
          </w:p>
        </w:tc>
      </w:tr>
      <w:tr>
        <w:tc>
          <w:tcPr>
            <w:tcW w:type="dxa" w:w="2880"/>
          </w:tcPr>
          <w:p>
            <w:r>
              <w:rPr>
                <w:sz w:val="18"/>
              </w:rPr>
              <w:t>7</w:t>
            </w:r>
          </w:p>
        </w:tc>
        <w:tc>
          <w:tcPr>
            <w:tcW w:type="dxa" w:w="2880"/>
          </w:tcPr>
          <w:p>
            <w:r>
              <w:rPr>
                <w:sz w:val="18"/>
              </w:rPr>
              <w:t>我国</w:t>
            </w:r>
          </w:p>
        </w:tc>
        <w:tc>
          <w:tcPr>
            <w:tcW w:type="dxa" w:w="2880"/>
          </w:tcPr>
          <w:p>
            <w:r>
              <w:rPr>
                <w:sz w:val="18"/>
              </w:rPr>
              <w:t>0.02192</w:t>
            </w:r>
          </w:p>
        </w:tc>
      </w:tr>
      <w:tr>
        <w:tc>
          <w:tcPr>
            <w:tcW w:type="dxa" w:w="2880"/>
          </w:tcPr>
          <w:p>
            <w:r>
              <w:rPr>
                <w:sz w:val="18"/>
              </w:rPr>
              <w:t>8</w:t>
            </w:r>
          </w:p>
        </w:tc>
        <w:tc>
          <w:tcPr>
            <w:tcW w:type="dxa" w:w="2880"/>
          </w:tcPr>
          <w:p>
            <w:r>
              <w:rPr>
                <w:sz w:val="18"/>
              </w:rPr>
              <w:t>理论</w:t>
            </w:r>
          </w:p>
        </w:tc>
        <w:tc>
          <w:tcPr>
            <w:tcW w:type="dxa" w:w="2880"/>
          </w:tcPr>
          <w:p>
            <w:r>
              <w:rPr>
                <w:sz w:val="18"/>
              </w:rPr>
              <w:t>0.02066</w:t>
            </w:r>
          </w:p>
        </w:tc>
      </w:tr>
      <w:tr>
        <w:tc>
          <w:tcPr>
            <w:tcW w:type="dxa" w:w="2880"/>
          </w:tcPr>
          <w:p>
            <w:r>
              <w:rPr>
                <w:sz w:val="18"/>
              </w:rPr>
              <w:t>9</w:t>
            </w:r>
          </w:p>
        </w:tc>
        <w:tc>
          <w:tcPr>
            <w:tcW w:type="dxa" w:w="2880"/>
          </w:tcPr>
          <w:p>
            <w:r>
              <w:rPr>
                <w:sz w:val="18"/>
              </w:rPr>
              <w:t>程序</w:t>
            </w:r>
          </w:p>
        </w:tc>
        <w:tc>
          <w:tcPr>
            <w:tcW w:type="dxa" w:w="2880"/>
          </w:tcPr>
          <w:p>
            <w:r>
              <w:rPr>
                <w:sz w:val="18"/>
              </w:rPr>
              <w:t>0.02060</w:t>
            </w:r>
          </w:p>
        </w:tc>
      </w:tr>
      <w:tr>
        <w:tc>
          <w:tcPr>
            <w:tcW w:type="dxa" w:w="2880"/>
          </w:tcPr>
          <w:p>
            <w:r>
              <w:rPr>
                <w:sz w:val="18"/>
              </w:rPr>
              <w:t>10</w:t>
            </w:r>
          </w:p>
        </w:tc>
        <w:tc>
          <w:tcPr>
            <w:tcW w:type="dxa" w:w="2880"/>
          </w:tcPr>
          <w:p>
            <w:r>
              <w:rPr>
                <w:sz w:val="18"/>
              </w:rPr>
              <w:t>立法</w:t>
            </w:r>
          </w:p>
        </w:tc>
        <w:tc>
          <w:tcPr>
            <w:tcW w:type="dxa" w:w="2880"/>
          </w:tcPr>
          <w:p>
            <w:r>
              <w:rPr>
                <w:sz w:val="18"/>
              </w:rPr>
              <w:t>0.02013</w:t>
            </w:r>
          </w:p>
        </w:tc>
      </w:tr>
      <w:tr>
        <w:tc>
          <w:tcPr>
            <w:tcW w:type="dxa" w:w="2880"/>
          </w:tcPr>
          <w:p>
            <w:r>
              <w:rPr>
                <w:sz w:val="18"/>
              </w:rPr>
              <w:t>11</w:t>
            </w:r>
          </w:p>
        </w:tc>
        <w:tc>
          <w:tcPr>
            <w:tcW w:type="dxa" w:w="2880"/>
          </w:tcPr>
          <w:p>
            <w:r>
              <w:rPr>
                <w:sz w:val="18"/>
              </w:rPr>
              <w:t>保护</w:t>
            </w:r>
          </w:p>
        </w:tc>
        <w:tc>
          <w:tcPr>
            <w:tcW w:type="dxa" w:w="2880"/>
          </w:tcPr>
          <w:p>
            <w:r>
              <w:rPr>
                <w:sz w:val="18"/>
              </w:rPr>
              <w:t>0.02002</w:t>
            </w:r>
          </w:p>
        </w:tc>
      </w:tr>
      <w:tr>
        <w:tc>
          <w:tcPr>
            <w:tcW w:type="dxa" w:w="2880"/>
          </w:tcPr>
          <w:p>
            <w:r>
              <w:rPr>
                <w:sz w:val="18"/>
              </w:rPr>
              <w:t>12</w:t>
            </w:r>
          </w:p>
        </w:tc>
        <w:tc>
          <w:tcPr>
            <w:tcW w:type="dxa" w:w="2880"/>
          </w:tcPr>
          <w:p>
            <w:r>
              <w:rPr>
                <w:sz w:val="18"/>
              </w:rPr>
              <w:t>规范</w:t>
            </w:r>
          </w:p>
        </w:tc>
        <w:tc>
          <w:tcPr>
            <w:tcW w:type="dxa" w:w="2880"/>
          </w:tcPr>
          <w:p>
            <w:r>
              <w:rPr>
                <w:sz w:val="18"/>
              </w:rPr>
              <w:t>0.01966</w:t>
            </w:r>
          </w:p>
        </w:tc>
      </w:tr>
      <w:tr>
        <w:tc>
          <w:tcPr>
            <w:tcW w:type="dxa" w:w="2880"/>
          </w:tcPr>
          <w:p>
            <w:r>
              <w:rPr>
                <w:sz w:val="18"/>
              </w:rPr>
              <w:t>13</w:t>
            </w:r>
          </w:p>
        </w:tc>
        <w:tc>
          <w:tcPr>
            <w:tcW w:type="dxa" w:w="2880"/>
          </w:tcPr>
          <w:p>
            <w:r>
              <w:rPr>
                <w:sz w:val="18"/>
              </w:rPr>
              <w:t>数字</w:t>
            </w:r>
          </w:p>
        </w:tc>
        <w:tc>
          <w:tcPr>
            <w:tcW w:type="dxa" w:w="2880"/>
          </w:tcPr>
          <w:p>
            <w:r>
              <w:rPr>
                <w:sz w:val="18"/>
              </w:rPr>
              <w:t>0.01878</w:t>
            </w:r>
          </w:p>
        </w:tc>
      </w:tr>
      <w:tr>
        <w:tc>
          <w:tcPr>
            <w:tcW w:type="dxa" w:w="2880"/>
          </w:tcPr>
          <w:p>
            <w:r>
              <w:rPr>
                <w:sz w:val="18"/>
              </w:rPr>
              <w:t>14</w:t>
            </w:r>
          </w:p>
        </w:tc>
        <w:tc>
          <w:tcPr>
            <w:tcW w:type="dxa" w:w="2880"/>
          </w:tcPr>
          <w:p>
            <w:r>
              <w:rPr>
                <w:sz w:val="18"/>
              </w:rPr>
              <w:t>适用</w:t>
            </w:r>
          </w:p>
        </w:tc>
        <w:tc>
          <w:tcPr>
            <w:tcW w:type="dxa" w:w="2880"/>
          </w:tcPr>
          <w:p>
            <w:r>
              <w:rPr>
                <w:sz w:val="18"/>
              </w:rPr>
              <w:t>0.01832</w:t>
            </w:r>
          </w:p>
        </w:tc>
      </w:tr>
      <w:tr>
        <w:tc>
          <w:tcPr>
            <w:tcW w:type="dxa" w:w="2880"/>
          </w:tcPr>
          <w:p>
            <w:r>
              <w:rPr>
                <w:sz w:val="18"/>
              </w:rPr>
              <w:t>15</w:t>
            </w:r>
          </w:p>
        </w:tc>
        <w:tc>
          <w:tcPr>
            <w:tcW w:type="dxa" w:w="2880"/>
          </w:tcPr>
          <w:p>
            <w:r>
              <w:rPr>
                <w:sz w:val="18"/>
              </w:rPr>
              <w:t>规定</w:t>
            </w:r>
          </w:p>
        </w:tc>
        <w:tc>
          <w:tcPr>
            <w:tcW w:type="dxa" w:w="2880"/>
          </w:tcPr>
          <w:p>
            <w:r>
              <w:rPr>
                <w:sz w:val="18"/>
              </w:rPr>
              <w:t>0.01765</w:t>
            </w:r>
          </w:p>
        </w:tc>
      </w:tr>
      <w:tr>
        <w:tc>
          <w:tcPr>
            <w:tcW w:type="dxa" w:w="2880"/>
          </w:tcPr>
          <w:p>
            <w:r>
              <w:rPr>
                <w:sz w:val="18"/>
              </w:rPr>
              <w:t>16</w:t>
            </w:r>
          </w:p>
        </w:tc>
        <w:tc>
          <w:tcPr>
            <w:tcW w:type="dxa" w:w="2880"/>
          </w:tcPr>
          <w:p>
            <w:r>
              <w:rPr>
                <w:sz w:val="18"/>
              </w:rPr>
              <w:t>案件</w:t>
            </w:r>
          </w:p>
        </w:tc>
        <w:tc>
          <w:tcPr>
            <w:tcW w:type="dxa" w:w="2880"/>
          </w:tcPr>
          <w:p>
            <w:r>
              <w:rPr>
                <w:sz w:val="18"/>
              </w:rPr>
              <w:t>0.01752</w:t>
            </w:r>
          </w:p>
        </w:tc>
      </w:tr>
      <w:tr>
        <w:tc>
          <w:tcPr>
            <w:tcW w:type="dxa" w:w="2880"/>
          </w:tcPr>
          <w:p>
            <w:r>
              <w:rPr>
                <w:sz w:val="18"/>
              </w:rPr>
              <w:t>17</w:t>
            </w:r>
          </w:p>
        </w:tc>
        <w:tc>
          <w:tcPr>
            <w:tcW w:type="dxa" w:w="2880"/>
          </w:tcPr>
          <w:p>
            <w:r>
              <w:rPr>
                <w:sz w:val="18"/>
              </w:rPr>
              <w:t>体系</w:t>
            </w:r>
          </w:p>
        </w:tc>
        <w:tc>
          <w:tcPr>
            <w:tcW w:type="dxa" w:w="2880"/>
          </w:tcPr>
          <w:p>
            <w:r>
              <w:rPr>
                <w:sz w:val="18"/>
              </w:rPr>
              <w:t>0.01732</w:t>
            </w:r>
          </w:p>
        </w:tc>
      </w:tr>
      <w:tr>
        <w:tc>
          <w:tcPr>
            <w:tcW w:type="dxa" w:w="2880"/>
          </w:tcPr>
          <w:p>
            <w:r>
              <w:rPr>
                <w:sz w:val="18"/>
              </w:rPr>
              <w:t>18</w:t>
            </w:r>
          </w:p>
        </w:tc>
        <w:tc>
          <w:tcPr>
            <w:tcW w:type="dxa" w:w="2880"/>
          </w:tcPr>
          <w:p>
            <w:r>
              <w:rPr>
                <w:sz w:val="18"/>
              </w:rPr>
              <w:t>治理</w:t>
            </w:r>
          </w:p>
        </w:tc>
        <w:tc>
          <w:tcPr>
            <w:tcW w:type="dxa" w:w="2880"/>
          </w:tcPr>
          <w:p>
            <w:r>
              <w:rPr>
                <w:sz w:val="18"/>
              </w:rPr>
              <w:t>0.01728</w:t>
            </w:r>
          </w:p>
        </w:tc>
      </w:tr>
      <w:tr>
        <w:tc>
          <w:tcPr>
            <w:tcW w:type="dxa" w:w="2880"/>
          </w:tcPr>
          <w:p>
            <w:r>
              <w:rPr>
                <w:sz w:val="18"/>
              </w:rPr>
              <w:t>19</w:t>
            </w:r>
          </w:p>
        </w:tc>
        <w:tc>
          <w:tcPr>
            <w:tcW w:type="dxa" w:w="2880"/>
          </w:tcPr>
          <w:p>
            <w:r>
              <w:rPr>
                <w:sz w:val="18"/>
              </w:rPr>
              <w:t>人工智能</w:t>
            </w:r>
          </w:p>
        </w:tc>
        <w:tc>
          <w:tcPr>
            <w:tcW w:type="dxa" w:w="2880"/>
          </w:tcPr>
          <w:p>
            <w:r>
              <w:rPr>
                <w:sz w:val="18"/>
              </w:rPr>
              <w:t>0.01727</w:t>
            </w:r>
          </w:p>
        </w:tc>
      </w:tr>
      <w:tr>
        <w:tc>
          <w:tcPr>
            <w:tcW w:type="dxa" w:w="2880"/>
          </w:tcPr>
          <w:p>
            <w:r>
              <w:rPr>
                <w:sz w:val="18"/>
              </w:rPr>
              <w:t>20</w:t>
            </w:r>
          </w:p>
        </w:tc>
        <w:tc>
          <w:tcPr>
            <w:tcW w:type="dxa" w:w="2880"/>
          </w:tcPr>
          <w:p>
            <w:r>
              <w:rPr>
                <w:sz w:val="18"/>
              </w:rPr>
              <w:t>社会</w:t>
            </w:r>
          </w:p>
        </w:tc>
        <w:tc>
          <w:tcPr>
            <w:tcW w:type="dxa" w:w="2880"/>
          </w:tcPr>
          <w:p>
            <w:r>
              <w:rPr>
                <w:sz w:val="18"/>
              </w:rPr>
              <w:t>0.01657</w:t>
            </w:r>
          </w:p>
        </w:tc>
      </w:tr>
      <w:tr>
        <w:tc>
          <w:tcPr>
            <w:tcW w:type="dxa" w:w="2880"/>
          </w:tcPr>
          <w:p>
            <w:r>
              <w:rPr>
                <w:sz w:val="18"/>
              </w:rPr>
              <w:t>21</w:t>
            </w:r>
          </w:p>
        </w:tc>
        <w:tc>
          <w:tcPr>
            <w:tcW w:type="dxa" w:w="2880"/>
          </w:tcPr>
          <w:p>
            <w:r>
              <w:rPr>
                <w:sz w:val="18"/>
              </w:rPr>
              <w:t>认定</w:t>
            </w:r>
          </w:p>
        </w:tc>
        <w:tc>
          <w:tcPr>
            <w:tcW w:type="dxa" w:w="2880"/>
          </w:tcPr>
          <w:p>
            <w:r>
              <w:rPr>
                <w:sz w:val="18"/>
              </w:rPr>
              <w:t>0.01630</w:t>
            </w:r>
          </w:p>
        </w:tc>
      </w:tr>
      <w:tr>
        <w:tc>
          <w:tcPr>
            <w:tcW w:type="dxa" w:w="2880"/>
          </w:tcPr>
          <w:p>
            <w:r>
              <w:rPr>
                <w:sz w:val="18"/>
              </w:rPr>
              <w:t>22</w:t>
            </w:r>
          </w:p>
        </w:tc>
        <w:tc>
          <w:tcPr>
            <w:tcW w:type="dxa" w:w="2880"/>
          </w:tcPr>
          <w:p>
            <w:r>
              <w:rPr>
                <w:sz w:val="18"/>
              </w:rPr>
              <w:t>财产</w:t>
            </w:r>
          </w:p>
        </w:tc>
        <w:tc>
          <w:tcPr>
            <w:tcW w:type="dxa" w:w="2880"/>
          </w:tcPr>
          <w:p>
            <w:r>
              <w:rPr>
                <w:sz w:val="18"/>
              </w:rPr>
              <w:t>0.01525</w:t>
            </w:r>
          </w:p>
        </w:tc>
      </w:tr>
      <w:tr>
        <w:tc>
          <w:tcPr>
            <w:tcW w:type="dxa" w:w="2880"/>
          </w:tcPr>
          <w:p>
            <w:r>
              <w:rPr>
                <w:sz w:val="18"/>
              </w:rPr>
              <w:t>23</w:t>
            </w:r>
          </w:p>
        </w:tc>
        <w:tc>
          <w:tcPr>
            <w:tcW w:type="dxa" w:w="2880"/>
          </w:tcPr>
          <w:p>
            <w:r>
              <w:rPr>
                <w:sz w:val="18"/>
              </w:rPr>
              <w:t>作为</w:t>
            </w:r>
          </w:p>
        </w:tc>
        <w:tc>
          <w:tcPr>
            <w:tcW w:type="dxa" w:w="2880"/>
          </w:tcPr>
          <w:p>
            <w:r>
              <w:rPr>
                <w:sz w:val="18"/>
              </w:rPr>
              <w:t>0.01512</w:t>
            </w:r>
          </w:p>
        </w:tc>
      </w:tr>
      <w:tr>
        <w:tc>
          <w:tcPr>
            <w:tcW w:type="dxa" w:w="2880"/>
          </w:tcPr>
          <w:p>
            <w:r>
              <w:rPr>
                <w:sz w:val="18"/>
              </w:rPr>
              <w:t>24</w:t>
            </w:r>
          </w:p>
        </w:tc>
        <w:tc>
          <w:tcPr>
            <w:tcW w:type="dxa" w:w="2880"/>
          </w:tcPr>
          <w:p>
            <w:r>
              <w:rPr>
                <w:sz w:val="18"/>
              </w:rPr>
              <w:t>存在</w:t>
            </w:r>
          </w:p>
        </w:tc>
        <w:tc>
          <w:tcPr>
            <w:tcW w:type="dxa" w:w="2880"/>
          </w:tcPr>
          <w:p>
            <w:r>
              <w:rPr>
                <w:sz w:val="18"/>
              </w:rPr>
              <w:t>0.01512</w:t>
            </w:r>
          </w:p>
        </w:tc>
      </w:tr>
      <w:tr>
        <w:tc>
          <w:tcPr>
            <w:tcW w:type="dxa" w:w="2880"/>
          </w:tcPr>
          <w:p>
            <w:r>
              <w:rPr>
                <w:sz w:val="18"/>
              </w:rPr>
              <w:t>25</w:t>
            </w:r>
          </w:p>
        </w:tc>
        <w:tc>
          <w:tcPr>
            <w:tcW w:type="dxa" w:w="2880"/>
          </w:tcPr>
          <w:p>
            <w:r>
              <w:rPr>
                <w:sz w:val="18"/>
              </w:rPr>
              <w:t>原则</w:t>
            </w:r>
          </w:p>
        </w:tc>
        <w:tc>
          <w:tcPr>
            <w:tcW w:type="dxa" w:w="2880"/>
          </w:tcPr>
          <w:p>
            <w:r>
              <w:rPr>
                <w:sz w:val="18"/>
              </w:rPr>
              <w:t>0.01491</w:t>
            </w:r>
          </w:p>
        </w:tc>
      </w:tr>
      <w:tr>
        <w:tc>
          <w:tcPr>
            <w:tcW w:type="dxa" w:w="2880"/>
          </w:tcPr>
          <w:p>
            <w:r>
              <w:rPr>
                <w:sz w:val="18"/>
              </w:rPr>
              <w:t>26</w:t>
            </w:r>
          </w:p>
        </w:tc>
        <w:tc>
          <w:tcPr>
            <w:tcW w:type="dxa" w:w="2880"/>
          </w:tcPr>
          <w:p>
            <w:r>
              <w:rPr>
                <w:sz w:val="18"/>
              </w:rPr>
              <w:t>诉讼</w:t>
            </w:r>
          </w:p>
        </w:tc>
        <w:tc>
          <w:tcPr>
            <w:tcW w:type="dxa" w:w="2880"/>
          </w:tcPr>
          <w:p>
            <w:r>
              <w:rPr>
                <w:sz w:val="18"/>
              </w:rPr>
              <w:t>0.01491</w:t>
            </w:r>
          </w:p>
        </w:tc>
      </w:tr>
      <w:tr>
        <w:tc>
          <w:tcPr>
            <w:tcW w:type="dxa" w:w="2880"/>
          </w:tcPr>
          <w:p>
            <w:r>
              <w:rPr>
                <w:sz w:val="18"/>
              </w:rPr>
              <w:t>27</w:t>
            </w:r>
          </w:p>
        </w:tc>
        <w:tc>
          <w:tcPr>
            <w:tcW w:type="dxa" w:w="2880"/>
          </w:tcPr>
          <w:p>
            <w:r>
              <w:rPr>
                <w:sz w:val="18"/>
              </w:rPr>
              <w:t>标准</w:t>
            </w:r>
          </w:p>
        </w:tc>
        <w:tc>
          <w:tcPr>
            <w:tcW w:type="dxa" w:w="2880"/>
          </w:tcPr>
          <w:p>
            <w:r>
              <w:rPr>
                <w:sz w:val="18"/>
              </w:rPr>
              <w:t>0.01479</w:t>
            </w:r>
          </w:p>
        </w:tc>
      </w:tr>
      <w:tr>
        <w:tc>
          <w:tcPr>
            <w:tcW w:type="dxa" w:w="2880"/>
          </w:tcPr>
          <w:p>
            <w:r>
              <w:rPr>
                <w:sz w:val="18"/>
              </w:rPr>
              <w:t>28</w:t>
            </w:r>
          </w:p>
        </w:tc>
        <w:tc>
          <w:tcPr>
            <w:tcW w:type="dxa" w:w="2880"/>
          </w:tcPr>
          <w:p>
            <w:r>
              <w:rPr>
                <w:sz w:val="18"/>
              </w:rPr>
              <w:t>归责</w:t>
            </w:r>
          </w:p>
        </w:tc>
        <w:tc>
          <w:tcPr>
            <w:tcW w:type="dxa" w:w="2880"/>
          </w:tcPr>
          <w:p>
            <w:r>
              <w:rPr>
                <w:sz w:val="18"/>
              </w:rPr>
              <w:t>0.01439</w:t>
            </w:r>
          </w:p>
        </w:tc>
      </w:tr>
      <w:tr>
        <w:tc>
          <w:tcPr>
            <w:tcW w:type="dxa" w:w="2880"/>
          </w:tcPr>
          <w:p>
            <w:r>
              <w:rPr>
                <w:sz w:val="18"/>
              </w:rPr>
              <w:t>29</w:t>
            </w:r>
          </w:p>
        </w:tc>
        <w:tc>
          <w:tcPr>
            <w:tcW w:type="dxa" w:w="2880"/>
          </w:tcPr>
          <w:p>
            <w:r>
              <w:rPr>
                <w:sz w:val="18"/>
              </w:rPr>
              <w:t>轻罪</w:t>
            </w:r>
          </w:p>
        </w:tc>
        <w:tc>
          <w:tcPr>
            <w:tcW w:type="dxa" w:w="2880"/>
          </w:tcPr>
          <w:p>
            <w:r>
              <w:rPr>
                <w:sz w:val="18"/>
              </w:rPr>
              <w:t>0.01433</w:t>
            </w:r>
          </w:p>
        </w:tc>
      </w:tr>
      <w:tr>
        <w:tc>
          <w:tcPr>
            <w:tcW w:type="dxa" w:w="2880"/>
          </w:tcPr>
          <w:p>
            <w:r>
              <w:rPr>
                <w:sz w:val="18"/>
              </w:rPr>
              <w:t>30</w:t>
            </w:r>
          </w:p>
        </w:tc>
        <w:tc>
          <w:tcPr>
            <w:tcW w:type="dxa" w:w="2880"/>
          </w:tcPr>
          <w:p>
            <w:r>
              <w:rPr>
                <w:sz w:val="18"/>
              </w:rPr>
              <w:t>事实</w:t>
            </w:r>
          </w:p>
        </w:tc>
        <w:tc>
          <w:tcPr>
            <w:tcW w:type="dxa" w:w="2880"/>
          </w:tcPr>
          <w:p>
            <w:r>
              <w:rPr>
                <w:sz w:val="18"/>
              </w:rPr>
              <w:t>0.01423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