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 xml:space="preserve">NUS-ISS </w:t>
      </w:r>
      <w:r>
        <w:rPr>
          <w:b w:val="1"/>
          <w:bCs w:val="1"/>
          <w:rtl w:val="0"/>
          <w:lang w:val="en-US"/>
        </w:rPr>
        <w:t>Masters of Technology</w:t>
      </w:r>
      <w:r>
        <w:rPr>
          <w:b w:val="1"/>
          <w:bCs w:val="1"/>
          <w:rtl w:val="0"/>
          <w:lang w:val="en-US"/>
        </w:rPr>
        <w:t xml:space="preserve"> - Knowledge Engineering</w:t>
      </w:r>
    </w:p>
    <w:p>
      <w:pPr>
        <w:pStyle w:val="Body"/>
        <w:jc w:val="center"/>
        <w:rPr>
          <w:b w:val="1"/>
          <w:bCs w:val="1"/>
        </w:rPr>
      </w:pPr>
      <w:r>
        <w:rPr>
          <w:b w:val="1"/>
          <w:bCs w:val="1"/>
          <w:rtl w:val="0"/>
          <w:lang w:val="nl-NL"/>
        </w:rPr>
        <w:t>Choong Yue Lin</w:t>
      </w:r>
      <w:r>
        <w:rPr>
          <w:b w:val="1"/>
          <w:bCs w:val="1"/>
          <w:rtl w:val="0"/>
          <w:lang w:val="en-US"/>
        </w:rPr>
        <w:t xml:space="preserve"> (A0150392L), </w:t>
      </w:r>
      <w:r>
        <w:rPr>
          <w:b w:val="1"/>
          <w:bCs w:val="1"/>
          <w:rtl w:val="0"/>
          <w:lang w:val="nl-NL"/>
        </w:rPr>
        <w:t>Ho Kok Loon</w:t>
      </w:r>
      <w:r>
        <w:rPr>
          <w:b w:val="1"/>
          <w:bCs w:val="1"/>
          <w:rtl w:val="0"/>
          <w:lang w:val="en-US"/>
        </w:rPr>
        <w:t xml:space="preserve">, </w:t>
      </w:r>
      <w:r>
        <w:rPr>
          <w:b w:val="1"/>
          <w:bCs w:val="1"/>
          <w:rtl w:val="0"/>
          <w:lang w:val="nl-NL"/>
        </w:rPr>
        <w:t>Lee Tin Onn</w:t>
      </w:r>
      <w:r>
        <w:rPr>
          <w:b w:val="1"/>
          <w:bCs w:val="1"/>
          <w:rtl w:val="0"/>
          <w:lang w:val="en-US"/>
        </w:rPr>
        <w:t xml:space="preserve">, </w:t>
      </w:r>
      <w:r>
        <w:rPr>
          <w:b w:val="1"/>
          <w:bCs w:val="1"/>
          <w:rtl w:val="0"/>
          <w:lang w:val="pt-PT"/>
        </w:rPr>
        <w:t>Lei Jun</w:t>
      </w:r>
      <w:r>
        <w:rPr>
          <w:b w:val="1"/>
          <w:bCs w:val="1"/>
          <w:rtl w:val="0"/>
          <w:lang w:val="en-US"/>
        </w:rPr>
        <w:t xml:space="preserve"> and </w:t>
      </w:r>
      <w:r>
        <w:rPr>
          <w:b w:val="1"/>
          <w:bCs w:val="1"/>
          <w:rtl w:val="0"/>
          <w:lang w:val="fr-FR"/>
        </w:rPr>
        <w:t>Vincent Leung</w:t>
      </w:r>
    </w:p>
    <w:p>
      <w:pPr>
        <w:pStyle w:val="Title 2"/>
        <w:jc w:val="center"/>
        <w:rPr>
          <w:sz w:val="56"/>
          <w:szCs w:val="56"/>
        </w:rPr>
      </w:pPr>
      <w:r>
        <w:rPr>
          <w:sz w:val="56"/>
          <w:szCs w:val="56"/>
          <w:rtl w:val="0"/>
          <w:lang w:val="en-US"/>
        </w:rPr>
        <w:t xml:space="preserve">Text Mining Report : </w:t>
      </w:r>
      <w:r>
        <w:rPr>
          <w:sz w:val="56"/>
          <w:szCs w:val="56"/>
        </w:rPr>
        <w:br w:type="textWrapping"/>
      </w:r>
      <w:r>
        <w:rPr>
          <w:sz w:val="56"/>
          <w:szCs w:val="56"/>
          <w:rtl w:val="0"/>
          <w:lang w:val="en-US"/>
        </w:rPr>
        <w:t xml:space="preserve">Analysis of </w:t>
      </w:r>
      <w:r>
        <w:rPr>
          <w:sz w:val="56"/>
          <w:szCs w:val="56"/>
          <w:rtl w:val="0"/>
          <w:lang w:val="en-US"/>
        </w:rPr>
        <w:t>Workplace</w:t>
      </w:r>
      <w:r>
        <w:rPr>
          <w:sz w:val="56"/>
          <w:szCs w:val="56"/>
          <w:rtl w:val="0"/>
          <w:lang w:val="en-US"/>
        </w:rPr>
        <w:t xml:space="preserve"> Accidents</w:t>
      </w:r>
    </w:p>
    <w:p>
      <w:pPr>
        <w:pStyle w:val="Body"/>
        <w:jc w:val="center"/>
        <w:rPr>
          <w:b w:val="1"/>
          <w:bCs w:val="1"/>
        </w:rPr>
      </w:pPr>
      <w:r>
        <w:rPr>
          <w:b w:val="1"/>
          <w:bCs w:val="1"/>
        </w:rPr>
        <w:fldChar w:fldCharType="begin" w:fldLock="0"/>
      </w:r>
      <w:r>
        <w:rPr>
          <w:b w:val="1"/>
          <w:bCs w:val="1"/>
        </w:rPr>
        <w:instrText xml:space="preserve"> DATE \@ "d MMMM y" </w:instrText>
      </w:r>
      <w:r>
        <w:rPr>
          <w:b w:val="1"/>
          <w:bCs w:val="1"/>
        </w:rPr>
        <w:fldChar w:fldCharType="separate" w:fldLock="0"/>
      </w:r>
      <w:r>
        <w:rPr>
          <w:b w:val="1"/>
          <w:bCs w:val="1"/>
          <w:rtl w:val="0"/>
          <w:lang w:val="en-US"/>
        </w:rPr>
        <w:t>30 October 2017</w:t>
      </w:r>
      <w:r>
        <w:rPr>
          <w:b w:val="1"/>
          <w:bCs w:val="1"/>
        </w:rPr>
        <w:fldChar w:fldCharType="end" w:fldLock="1"/>
      </w:r>
    </w:p>
    <w:p>
      <w:pPr>
        <w:pStyle w:val="Body"/>
        <w:bidi w:val="0"/>
      </w:pPr>
      <w:r>
        <w:rPr/>
        <w:fldChar w:fldCharType="begin" w:fldLock="0"/>
      </w:r>
      <w:r>
        <w:instrText xml:space="preserve"> TOC \t "Heading, 1,Title, 2"</w:instrText>
      </w:r>
      <w:r>
        <w:rPr/>
        <w:fldChar w:fldCharType="separate" w:fldLock="0"/>
      </w:r>
    </w:p>
    <w:p>
      <w:pPr>
        <w:pStyle w:val="TOC 2"/>
        <w:bidi w:val="0"/>
      </w:pPr>
      <w:r>
        <w:rPr>
          <w:rFonts w:cs="Arial Unicode MS" w:eastAsia="Arial Unicode MS"/>
          <w:rtl w:val="0"/>
          <w:lang w:val="en-US"/>
        </w:rPr>
        <w:t>Analysis of Construction Fatality and Catastrophe Accidents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nl-NL"/>
        </w:rPr>
        <w:t>Data</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en-US"/>
        </w:rPr>
        <w:t xml:space="preserve">Accident types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fr-FR"/>
        </w:rPr>
        <w:t>Occupation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Body part injured</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en-US"/>
        </w:rPr>
        <w:t>Activity prior to accident</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it-IT"/>
        </w:rPr>
        <w:t>Conclusion</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fr-FR"/>
        </w:rPr>
        <w:t>References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it-IT"/>
        </w:rPr>
        <w:t>Appendices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Body"/>
        <w:bidi w:val="0"/>
      </w:pPr>
      <w:r>
        <w:rPr>
          <w:rtl w:val="0"/>
        </w:rPr>
        <w:t>Abstract (</w:t>
      </w:r>
      <w:r>
        <w:rPr>
          <w:i w:val="1"/>
          <w:iCs w:val="1"/>
          <w:rtl w:val="0"/>
          <w:lang w:val="en-US"/>
        </w:rPr>
        <w:t>Business goals</w:t>
      </w:r>
      <w:r>
        <w:rPr>
          <w:i w:val="1"/>
          <w:iCs w:val="1"/>
          <w:rtl w:val="0"/>
          <w:lang w:val="en-US"/>
        </w:rPr>
        <w:t xml:space="preserve"> &amp; </w:t>
      </w:r>
      <w:r>
        <w:rPr>
          <w:i w:val="1"/>
          <w:iCs w:val="1"/>
          <w:rtl w:val="0"/>
          <w:lang w:val="en-US"/>
        </w:rPr>
        <w:t>Findings</w:t>
      </w:r>
      <w:r>
        <w:rPr>
          <w:rtl w:val="0"/>
        </w:rPr>
        <w:t>)</w:t>
      </w:r>
    </w:p>
    <w:p>
      <w:pPr>
        <w:pStyle w:val="Title"/>
        <w:rPr>
          <w:b w:val="1"/>
          <w:bCs w:val="1"/>
        </w:rPr>
      </w:pPr>
      <w:bookmarkStart w:name="_Toc" w:id="0"/>
      <w:r>
        <w:rPr>
          <w:b w:val="1"/>
          <w:bCs w:val="1"/>
          <w:rtl w:val="0"/>
          <w:lang w:val="en-US"/>
        </w:rPr>
        <w:t>Analysis of Construction Fatality and Catastrophe Accidents</w:t>
      </w:r>
      <w:bookmarkEnd w:id="0"/>
    </w:p>
    <w:p>
      <w:pPr>
        <w:pStyle w:val="Body 2"/>
        <w:bidi w:val="0"/>
      </w:pPr>
      <w:r>
        <w:rPr>
          <w:rFonts w:cs="Arial Unicode MS" w:eastAsia="Arial Unicode MS"/>
          <w:rtl w:val="0"/>
          <w:lang w:val="en-US"/>
        </w:rPr>
        <w:t>(</w:t>
      </w:r>
      <w:r>
        <w:rPr>
          <w:rFonts w:cs="Arial Unicode MS" w:eastAsia="Arial Unicode MS"/>
          <w:i w:val="1"/>
          <w:iCs w:val="1"/>
          <w:rtl w:val="0"/>
          <w:lang w:val="en-US"/>
        </w:rPr>
        <w:t>Purpose of Analysis, business &amp; text mining goals</w:t>
      </w:r>
      <w:r>
        <w:rPr>
          <w:rFonts w:cs="Arial Unicode MS" w:eastAsia="Arial Unicode MS"/>
          <w:rtl w:val="0"/>
          <w:lang w:val="en-US"/>
        </w:rPr>
        <w:t>)</w:t>
      </w:r>
    </w:p>
    <w:p>
      <w:pPr>
        <w:pStyle w:val="Body 2"/>
        <w:bidi w:val="0"/>
      </w:pPr>
      <w:r>
        <w:rPr>
          <w:rFonts w:cs="Arial Unicode MS" w:eastAsia="Arial Unicode MS"/>
          <w:rtl w:val="0"/>
          <w:lang w:val="en-US"/>
        </w:rPr>
        <w:t xml:space="preserve">The objective of this project is to investigate the nature of construction accidents, such that to provide insights to forecast safety performance as well as improve safety risk controls for companies in the construction industry. </w:t>
      </w:r>
    </w:p>
    <w:p>
      <w:pPr>
        <w:pStyle w:val="Heading"/>
        <w:bidi w:val="0"/>
      </w:pPr>
      <w:bookmarkStart w:name="_Toc1" w:id="1"/>
      <w:r>
        <w:rPr>
          <w:rFonts w:cs="Arial Unicode MS" w:eastAsia="Arial Unicode MS"/>
          <w:rtl w:val="0"/>
          <w:lang w:val="en-US"/>
        </w:rPr>
        <w:t>Data</w:t>
      </w:r>
      <w:bookmarkEnd w:id="1"/>
    </w:p>
    <w:p>
      <w:pPr>
        <w:pStyle w:val="Body 2"/>
        <w:bidi w:val="0"/>
      </w:pPr>
      <w:r>
        <w:rPr>
          <w:rFonts w:cs="Arial Unicode MS" w:eastAsia="Arial Unicode MS"/>
          <w:rtl w:val="0"/>
          <w:lang w:val="en-US"/>
        </w:rPr>
        <w:t>We look at two datasets of construction accidents cases.</w:t>
      </w:r>
    </w:p>
    <w:p>
      <w:pPr>
        <w:pStyle w:val="Body 2"/>
        <w:bidi w:val="0"/>
      </w:pPr>
      <w:r>
        <w:rPr>
          <w:rFonts w:cs="Arial Unicode MS" w:eastAsia="Arial Unicode MS"/>
          <w:rtl w:val="0"/>
          <w:lang w:val="en-US"/>
        </w:rPr>
        <w:t>In addition to the case summaries, the Malaysia Accident dataset also contains the labelled 11 causes of accidents. Comparably, the OSHA (</w:t>
      </w:r>
      <w:r>
        <w:rPr>
          <w:rFonts w:cs="Arial Unicode MS" w:eastAsia="Arial Unicode MS"/>
          <w:rtl w:val="0"/>
          <w:lang w:val="en-US"/>
        </w:rPr>
        <w:t>Occupational Safety and Health Administration</w:t>
      </w:r>
      <w:r>
        <w:rPr>
          <w:rFonts w:cs="Arial Unicode MS" w:eastAsia="Arial Unicode MS"/>
          <w:rtl w:val="0"/>
          <w:lang w:val="en-US"/>
        </w:rPr>
        <w:t>) dataset is labelled with the main injury sustained.</w:t>
      </w:r>
    </w:p>
    <w:p>
      <w:pPr>
        <w:pStyle w:val="Body 2"/>
        <w:bidi w:val="0"/>
      </w:pPr>
      <w:r>
        <w:rPr>
          <w:rFonts w:cs="Arial Unicode MS" w:eastAsia="Arial Unicode MS"/>
          <w:rtl w:val="0"/>
          <w:lang w:val="en-US"/>
        </w:rPr>
        <w:t>The Malaysia dataset is smaller, consisting of 235 case summaries, while the OSHA dataset consists of 16323 cases. The Malaysia dataset are all case summaries of fatalities, while the OSHA dataset is a combination of fatal and catastrophe incidents, which include severe injuries such as amputation and in-patient hospitalisation [1].</w:t>
      </w:r>
    </w:p>
    <w:p>
      <w:pPr>
        <w:pStyle w:val="Body 2"/>
        <w:bidi w:val="0"/>
      </w:pPr>
      <w:r>
        <w:rPr>
          <w:rFonts w:cs="Arial Unicode MS" w:eastAsia="Arial Unicode MS"/>
          <w:rtl w:val="0"/>
          <w:lang w:val="en-US"/>
        </w:rPr>
        <w:t>To build a model to classify the cause of accident, the Malaysia dataset was split into 77:23, with 182 cases for training and 53 cases for testing. One mislabeled classification was replaced with the superset group</w:t>
      </w:r>
      <w:r>
        <w:rPr>
          <w:rFonts w:cs="Arial Unicode MS" w:eastAsia="Arial Unicode MS" w:hint="default"/>
          <w:rtl w:val="0"/>
          <w:lang w:val="en-US"/>
        </w:rPr>
        <w:t>’</w:t>
      </w:r>
      <w:r>
        <w:rPr>
          <w:rFonts w:cs="Arial Unicode MS" w:eastAsia="Arial Unicode MS"/>
          <w:rtl w:val="0"/>
          <w:lang w:val="en-US"/>
        </w:rPr>
        <w:t xml:space="preserve">s label by changing </w:t>
      </w:r>
      <w:r>
        <w:rPr>
          <w:rFonts w:cs="Arial Unicode MS" w:eastAsia="Arial Unicode MS" w:hint="default"/>
          <w:rtl w:val="0"/>
          <w:lang w:val="en-US"/>
        </w:rPr>
        <w:t>‘</w:t>
      </w:r>
      <w:r>
        <w:rPr>
          <w:rFonts w:cs="Arial Unicode MS" w:eastAsia="Arial Unicode MS"/>
          <w:rtl w:val="0"/>
          <w:lang w:val="en-US"/>
        </w:rPr>
        <w:t>Others</w:t>
      </w:r>
      <w:r>
        <w:rPr>
          <w:rFonts w:cs="Arial Unicode MS" w:eastAsia="Arial Unicode MS" w:hint="default"/>
          <w:rtl w:val="0"/>
          <w:lang w:val="en-US"/>
        </w:rPr>
        <w:t xml:space="preserve">’ </w:t>
      </w:r>
      <w:r>
        <w:rPr>
          <w:rFonts w:cs="Arial Unicode MS" w:eastAsia="Arial Unicode MS"/>
          <w:rtl w:val="0"/>
          <w:lang w:val="en-US"/>
        </w:rPr>
        <w:t xml:space="preserve">to </w:t>
      </w:r>
      <w:r>
        <w:rPr>
          <w:rFonts w:cs="Arial Unicode MS" w:eastAsia="Arial Unicode MS" w:hint="default"/>
          <w:rtl w:val="0"/>
          <w:lang w:val="en-US"/>
        </w:rPr>
        <w:t>‘</w:t>
      </w:r>
      <w:r>
        <w:rPr>
          <w:rFonts w:cs="Arial Unicode MS" w:eastAsia="Arial Unicode MS"/>
          <w:rtl w:val="0"/>
          <w:lang w:val="en-US"/>
        </w:rPr>
        <w:t>Other</w:t>
      </w:r>
      <w:r>
        <w:rPr>
          <w:rFonts w:cs="Arial Unicode MS" w:eastAsia="Arial Unicode MS" w:hint="default"/>
          <w:rtl w:val="0"/>
          <w:lang w:val="en-US"/>
        </w:rPr>
        <w:t>’</w:t>
      </w:r>
      <w:r>
        <w:rPr>
          <w:rFonts w:cs="Arial Unicode MS" w:eastAsia="Arial Unicode MS"/>
          <w:rtl w:val="0"/>
          <w:lang w:val="en-US"/>
        </w:rPr>
        <w:t>. Three misclassified summary case was identified and relabelled with the correct classification.</w:t>
      </w:r>
    </w:p>
    <w:p>
      <w:pPr>
        <w:pStyle w:val="Heading"/>
        <w:bidi w:val="0"/>
      </w:pPr>
      <w:bookmarkStart w:name="_Toc2" w:id="2"/>
      <w:r>
        <w:rPr>
          <w:rFonts w:cs="Arial Unicode MS" w:eastAsia="Arial Unicode MS"/>
          <w:rtl w:val="0"/>
          <w:lang w:val="en-US"/>
        </w:rPr>
        <w:t xml:space="preserve">Accident types </w:t>
      </w:r>
      <w:bookmarkEnd w:id="2"/>
    </w:p>
    <w:p>
      <w:pPr>
        <w:pStyle w:val="Body 2"/>
        <w:bidi w:val="0"/>
      </w:pPr>
      <w:r>
        <w:rPr>
          <w:rFonts w:cs="Arial Unicode MS" w:eastAsia="Arial Unicode MS"/>
          <w:rtl w:val="0"/>
          <w:lang w:val="en-US"/>
        </w:rPr>
        <w:t>We look into the main types of accidents that result in fatality, using the Malaysia dataset for classification training, different models are trained with tf-idf (term frequency-inverse document frequency), and the best performing model, with 73.58% prediction rate, SVM based on case title, is then used to classify the OSHA  dataset.</w:t>
      </w:r>
    </w:p>
    <w:tbl>
      <w:tblPr>
        <w:tblW w:w="940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73"/>
        <w:gridCol w:w="3073"/>
        <w:gridCol w:w="3260"/>
      </w:tblGrid>
      <w:tr>
        <w:tblPrEx>
          <w:shd w:val="clear" w:color="auto" w:fill="bdc0bf"/>
        </w:tblPrEx>
        <w:trPr>
          <w:trHeight w:val="280" w:hRule="atLeast"/>
          <w:tblHeader/>
        </w:trPr>
        <w:tc>
          <w:tcPr>
            <w:tcW w:type="dxa" w:w="3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Accuracy on Title text</w:t>
            </w:r>
          </w:p>
        </w:tc>
        <w:tc>
          <w:tcPr>
            <w:tcW w:type="dxa" w:w="32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Accuracy on Summary text</w:t>
            </w:r>
          </w:p>
        </w:tc>
      </w:tr>
      <w:tr>
        <w:tblPrEx>
          <w:shd w:val="clear" w:color="auto" w:fill="auto"/>
        </w:tblPrEx>
        <w:trPr>
          <w:trHeight w:val="280" w:hRule="atLeast"/>
        </w:trPr>
        <w:tc>
          <w:tcPr>
            <w:tcW w:type="dxa" w:w="3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Naive Bayes</w:t>
            </w:r>
          </w:p>
        </w:tc>
        <w:tc>
          <w:tcPr>
            <w:tcW w:type="dxa" w:w="3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69.81%</w:t>
            </w:r>
          </w:p>
        </w:tc>
        <w:tc>
          <w:tcPr>
            <w:tcW w:type="dxa" w:w="32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37.73%</w:t>
            </w:r>
          </w:p>
        </w:tc>
      </w:tr>
      <w:tr>
        <w:tblPrEx>
          <w:shd w:val="clear" w:color="auto" w:fill="auto"/>
        </w:tblPrEx>
        <w:trPr>
          <w:trHeight w:val="280" w:hRule="atLeast"/>
        </w:trPr>
        <w:tc>
          <w:tcPr>
            <w:tcW w:type="dxa" w:w="3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Decision Tree</w:t>
            </w:r>
          </w:p>
        </w:tc>
        <w:tc>
          <w:tcPr>
            <w:tcW w:type="dxa" w:w="3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64.15%</w:t>
            </w:r>
          </w:p>
        </w:tc>
        <w:tc>
          <w:tcPr>
            <w:tcW w:type="dxa" w:w="3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52.83%</w:t>
            </w:r>
          </w:p>
        </w:tc>
      </w:tr>
      <w:tr>
        <w:tblPrEx>
          <w:shd w:val="clear" w:color="auto" w:fill="auto"/>
        </w:tblPrEx>
        <w:trPr>
          <w:trHeight w:val="280" w:hRule="atLeast"/>
        </w:trPr>
        <w:tc>
          <w:tcPr>
            <w:tcW w:type="dxa" w:w="3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SVM</w:t>
            </w:r>
          </w:p>
        </w:tc>
        <w:tc>
          <w:tcPr>
            <w:tcW w:type="dxa" w:w="3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71.70%</w:t>
            </w:r>
          </w:p>
        </w:tc>
        <w:tc>
          <w:tcPr>
            <w:tcW w:type="dxa" w:w="3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56.60%</w:t>
            </w:r>
          </w:p>
        </w:tc>
      </w:tr>
    </w:tbl>
    <w:p>
      <w:pPr>
        <w:pStyle w:val="Heading"/>
        <w:jc w:val="center"/>
      </w:pPr>
    </w:p>
    <w:p>
      <w:pPr>
        <w:pStyle w:val="Body 2"/>
        <w:bidi w:val="0"/>
      </w:pPr>
    </w:p>
    <w:p>
      <w:pPr>
        <w:pStyle w:val="Body 2"/>
        <w:bidi w:val="0"/>
      </w:pPr>
      <w:r>
        <w:rPr>
          <w:rFonts w:cs="Arial Unicode MS" w:eastAsia="Arial Unicode MS"/>
          <w:rtl w:val="0"/>
          <w:lang w:val="en-US"/>
        </w:rPr>
        <w:t>After performing classification on OSHA data using the trained SVM model, the cause was determined. The fatal accidents in the OSHA dataset was filtered by matching words that indicates a fatality, and we obtained a subset of 6816 cases.</w:t>
      </w:r>
    </w:p>
    <w:p>
      <w:pPr>
        <w:pStyle w:val="Body 2"/>
        <w:bidi w:val="0"/>
      </w:pPr>
      <w:r>
        <w:rPr>
          <w:rFonts w:cs="Arial Unicode MS" w:eastAsia="Arial Unicode MS"/>
          <w:rtl w:val="0"/>
          <w:lang w:val="en-US"/>
        </w:rPr>
        <w:t xml:space="preserve">From the subset of cases, we are able to determine the most common accident type that result in fatality or catastrophe is </w:t>
      </w:r>
      <w:r>
        <w:rPr>
          <w:rFonts w:cs="Arial Unicode MS" w:eastAsia="Arial Unicode MS" w:hint="default"/>
          <w:rtl w:val="0"/>
          <w:lang w:val="en-US"/>
        </w:rPr>
        <w:t>‘</w:t>
      </w:r>
      <w:r>
        <w:rPr>
          <w:rFonts w:cs="Arial Unicode MS" w:eastAsia="Arial Unicode MS"/>
          <w:rtl w:val="0"/>
          <w:lang w:val="en-US"/>
        </w:rPr>
        <w:t>struck by moving objects</w:t>
      </w:r>
      <w:r>
        <w:rPr>
          <w:rFonts w:cs="Arial Unicode MS" w:eastAsia="Arial Unicode MS" w:hint="default"/>
          <w:rtl w:val="0"/>
          <w:lang w:val="en-US"/>
        </w:rPr>
        <w:t xml:space="preserve">’ </w:t>
      </w:r>
      <w:r>
        <w:rPr>
          <w:rFonts w:cs="Arial Unicode MS" w:eastAsia="Arial Unicode MS"/>
          <w:rtl w:val="0"/>
          <w:lang w:val="en-US"/>
        </w:rPr>
        <w:t xml:space="preserve">accidents, accounting for 37.73% of the cases, followed by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w:t>
      </w:r>
      <w:r>
        <w:rPr>
          <w:rFonts w:cs="Arial Unicode MS" w:eastAsia="Arial Unicode MS"/>
          <w:rtl w:val="0"/>
          <w:lang w:val="en-US"/>
        </w:rPr>
        <w:t xml:space="preserve">, which accounts for 3326 of the 16323 cases, consisting of 20.38% of the cases. </w:t>
      </w:r>
    </w:p>
    <w:p>
      <w:pPr>
        <w:pStyle w:val="Body 2"/>
        <w:bidi w:val="0"/>
      </w:pPr>
      <w:r>
        <w:rPr>
          <w:rFonts w:cs="Arial Unicode MS" w:eastAsia="Arial Unicode MS"/>
          <w:rtl w:val="0"/>
          <w:lang w:val="en-US"/>
        </w:rPr>
        <w:t xml:space="preserve">Similarly, the most common cause of fatalities is </w:t>
      </w:r>
      <w:r>
        <w:rPr>
          <w:rFonts w:cs="Arial Unicode MS" w:eastAsia="Arial Unicode MS" w:hint="default"/>
          <w:rtl w:val="0"/>
        </w:rPr>
        <w:t>‘</w:t>
      </w:r>
      <w:r>
        <w:rPr>
          <w:rFonts w:cs="Arial Unicode MS" w:eastAsia="Arial Unicode MS"/>
          <w:rtl w:val="0"/>
          <w:lang w:val="en-US"/>
        </w:rPr>
        <w:t>struck by moving objects</w:t>
      </w:r>
      <w:r>
        <w:rPr>
          <w:rFonts w:cs="Arial Unicode MS" w:eastAsia="Arial Unicode MS" w:hint="default"/>
          <w:rtl w:val="0"/>
        </w:rPr>
        <w:t>’</w:t>
      </w:r>
      <w:r>
        <w:rPr>
          <w:rFonts w:cs="Arial Unicode MS" w:eastAsia="Arial Unicode MS"/>
          <w:rtl w:val="0"/>
          <w:lang w:val="en-US"/>
        </w:rPr>
        <w:t xml:space="preserve">, though with greater proportion, accounts for 2774 cases, 40.70% of the fatal accidents. The second most common accident type that result in fatality is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w:t>
      </w:r>
      <w:r>
        <w:rPr>
          <w:rFonts w:cs="Arial Unicode MS" w:eastAsia="Arial Unicode MS"/>
          <w:rtl w:val="0"/>
          <w:lang w:val="en-US"/>
        </w:rPr>
        <w:t>, consisting 1430 cases, 21% of the fatal accidents.</w:t>
      </w:r>
    </w:p>
    <w:p>
      <w:pPr>
        <w:pStyle w:val="Body 2"/>
        <w:bidi w:val="0"/>
      </w:pPr>
      <w:r>
        <w:rPr>
          <w:rFonts w:cs="Arial Unicode MS" w:eastAsia="Arial Unicode MS"/>
          <w:rtl w:val="0"/>
          <w:lang w:val="en-US"/>
        </w:rPr>
        <w:t xml:space="preserve">The results closely match those found from the Malaysia Accident cases, which two most common accident types are also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rPr>
        <w:t>‘</w:t>
      </w:r>
      <w:r>
        <w:rPr>
          <w:rFonts w:cs="Arial Unicode MS" w:eastAsia="Arial Unicode MS"/>
          <w:rtl w:val="0"/>
          <w:lang w:val="en-US"/>
        </w:rPr>
        <w:t>struck by moving objects</w:t>
      </w:r>
      <w:r>
        <w:rPr>
          <w:rFonts w:cs="Arial Unicode MS" w:eastAsia="Arial Unicode MS" w:hint="default"/>
          <w:rtl w:val="0"/>
        </w:rPr>
        <w:t>’</w:t>
      </w:r>
      <w:r>
        <w:rPr>
          <w:rFonts w:cs="Arial Unicode MS" w:eastAsia="Arial Unicode MS"/>
          <w:rtl w:val="0"/>
          <w:lang w:val="en-US"/>
        </w:rPr>
        <w:t>.</w:t>
      </w:r>
    </w:p>
    <w:p>
      <w:pPr>
        <w:pStyle w:val="Default"/>
        <w:bidi w:val="0"/>
        <w:spacing w:line="280" w:lineRule="atLeast"/>
        <w:ind w:left="0" w:right="0" w:firstLine="0"/>
        <w:jc w:val="right"/>
        <w:rPr>
          <w:rFonts w:ascii="Times" w:cs="Times" w:hAnsi="Times" w:eastAsia="Times"/>
          <w:sz w:val="24"/>
          <w:szCs w:val="24"/>
          <w:rtl w:val="0"/>
        </w:rPr>
      </w:pPr>
    </w:p>
    <w:tbl>
      <w:tblPr>
        <w:tblW w:w="940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6"/>
        <w:gridCol w:w="828"/>
        <w:gridCol w:w="1285"/>
        <w:gridCol w:w="819"/>
        <w:gridCol w:w="1306"/>
        <w:gridCol w:w="774"/>
        <w:gridCol w:w="1278"/>
      </w:tblGrid>
      <w:tr>
        <w:tblPrEx>
          <w:shd w:val="clear" w:color="auto" w:fill="bdc0bf"/>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tc>
        <w:tc>
          <w:tcPr>
            <w:tcW w:type="dxa" w:w="2112"/>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OSHA</w:t>
            </w:r>
          </w:p>
        </w:tc>
        <w:tc>
          <w:tcPr>
            <w:tcW w:type="dxa" w:w="2125"/>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OSHA Fatal</w:t>
            </w:r>
          </w:p>
        </w:tc>
        <w:tc>
          <w:tcPr>
            <w:tcW w:type="dxa" w:w="2051"/>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Msia Accidents</w:t>
            </w:r>
          </w:p>
        </w:tc>
      </w:tr>
      <w:tr>
        <w:tblPrEx>
          <w:shd w:val="clear" w:color="auto" w:fill="bdc0bf"/>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Cause</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Caught in/between Objects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1967</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12.050481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830</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12.177230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19.574468</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Collapse of object</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2.505667</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3.022300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3.829787</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Drowning</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177</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1.084359</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154</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2.259390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3.829787</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Electrocution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1381</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8.460455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409</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6.000587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7.234043</w:t>
            </w:r>
          </w:p>
        </w:tc>
      </w:tr>
      <w:tr>
        <w:tblPrEx>
          <w:shd w:val="clear" w:color="auto" w:fill="auto"/>
        </w:tblPrEx>
        <w:trPr>
          <w:trHeight w:val="58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Exposure to Chemical Substances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1.954298</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1.555164</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0.851064</w:t>
            </w:r>
          </w:p>
        </w:tc>
      </w:tr>
      <w:tr>
        <w:tblPrEx>
          <w:shd w:val="clear" w:color="auto" w:fill="auto"/>
        </w:tblPrEx>
        <w:trPr>
          <w:trHeight w:val="58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Exposure to extreme temperatures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1499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9.183361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4.489437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1.276596</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Falls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3326</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20.376156</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1430</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20.980047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31.063830</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Fires and Explosion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552</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3.381731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348</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5.105634</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1.702128</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Other</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285</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1.746003</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2.142019</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7.234043</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Struck By Moving Objects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6159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37.732035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2774</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40.698357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52</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22.127660</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Suffocation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1.525455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107</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1.569836</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1.276596</w:t>
            </w:r>
          </w:p>
        </w:tc>
      </w:tr>
    </w:tbl>
    <w:p>
      <w:pPr>
        <w:pStyle w:val="Default"/>
        <w:bidi w:val="0"/>
        <w:spacing w:line="280" w:lineRule="atLeast"/>
        <w:ind w:left="0" w:right="0" w:firstLine="0"/>
        <w:jc w:val="center"/>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Body 3"/>
        <w:bidi w:val="0"/>
      </w:pPr>
    </w:p>
    <w:p>
      <w:pPr>
        <w:pStyle w:val="Heading"/>
        <w:bidi w:val="0"/>
      </w:pPr>
      <w:bookmarkStart w:name="_Toc3" w:id="3"/>
      <w:r>
        <w:rPr>
          <w:rFonts w:cs="Arial Unicode MS" w:eastAsia="Arial Unicode MS"/>
          <w:rtl w:val="0"/>
          <w:lang w:val="en-US"/>
        </w:rPr>
        <w:t>Occupation</w:t>
      </w:r>
      <w:bookmarkEnd w:id="3"/>
    </w:p>
    <w:p>
      <w:pPr>
        <w:pStyle w:val="Body 2"/>
        <w:bidi w:val="0"/>
      </w:pPr>
      <w:r>
        <w:rPr>
          <w:rFonts w:cs="Arial Unicode MS" w:eastAsia="Arial Unicode MS"/>
          <w:rtl w:val="0"/>
          <w:lang w:val="en-US"/>
        </w:rPr>
        <w:t>To find the main occupation of the injured, the text was filtered to remove non occupation related words. The remaining text is then used to match against a list of keywords that are associated with occupational profession.</w:t>
      </w:r>
    </w:p>
    <w:p>
      <w:pPr>
        <w:pStyle w:val="Body 2"/>
        <w:bidi w:val="0"/>
      </w:pP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3"/>
        <w:gridCol w:w="1005"/>
        <w:gridCol w:w="1564"/>
        <w:gridCol w:w="1987"/>
        <w:gridCol w:w="1142"/>
        <w:gridCol w:w="1564"/>
      </w:tblGrid>
      <w:tr>
        <w:tblPrEx>
          <w:shd w:val="clear" w:color="auto" w:fill="bdc0bf"/>
        </w:tblPrEx>
        <w:trPr>
          <w:trHeight w:val="279" w:hRule="atLeast"/>
          <w:tblHeader/>
        </w:trPr>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OSHA</w:t>
            </w:r>
          </w:p>
        </w:tc>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Struck By Moving Objects</w:t>
            </w:r>
          </w:p>
        </w:tc>
      </w:tr>
      <w:tr>
        <w:tblPrEx>
          <w:shd w:val="clear" w:color="auto" w:fill="bdc0bf"/>
        </w:tblPrEx>
        <w:trPr>
          <w:trHeight w:val="279" w:hRule="atLeast"/>
          <w:tblHeader/>
        </w:trPr>
        <w:tc>
          <w:tcPr>
            <w:tcW w:type="dxa" w:w="2123"/>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005"/>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c>
          <w:tcPr>
            <w:tcW w:type="dxa" w:w="1986"/>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142"/>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3636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22.275317</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988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16.041565</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1614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9.887888</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851</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13.817178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chemical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1172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7.180053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637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10.342588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1141</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6.990137</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463</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7.517454</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electrician</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1074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6.579673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266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4.318883</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r>
    </w:tbl>
    <w:p>
      <w:pPr>
        <w:pStyle w:val="Body"/>
        <w:bidi w:val="0"/>
      </w:pP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3"/>
        <w:gridCol w:w="1005"/>
        <w:gridCol w:w="1564"/>
        <w:gridCol w:w="1987"/>
        <w:gridCol w:w="1142"/>
        <w:gridCol w:w="1564"/>
      </w:tblGrid>
      <w:tr>
        <w:tblPrEx>
          <w:shd w:val="clear" w:color="auto" w:fill="bdc0bf"/>
        </w:tblPrEx>
        <w:trPr>
          <w:trHeight w:val="279" w:hRule="atLeast"/>
          <w:tblHeader/>
        </w:trPr>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Falls</w:t>
            </w:r>
          </w:p>
        </w:tc>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Caught in/between Objects</w:t>
            </w:r>
          </w:p>
        </w:tc>
      </w:tr>
      <w:tr>
        <w:tblPrEx>
          <w:shd w:val="clear" w:color="auto" w:fill="bdc0bf"/>
        </w:tblPrEx>
        <w:trPr>
          <w:trHeight w:val="279" w:hRule="atLeast"/>
          <w:tblHeader/>
        </w:trPr>
        <w:tc>
          <w:tcPr>
            <w:tcW w:type="dxa" w:w="2123"/>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005"/>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c>
          <w:tcPr>
            <w:tcW w:type="dxa" w:w="1986"/>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142"/>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1720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51.713770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326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16.573462</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148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4.449790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302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15.353330</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installer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140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4.209260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247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12.557194</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3.487673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214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10.879512</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carpenter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99</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2.976548</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4.931368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r>
    </w:tbl>
    <w:p>
      <w:pPr>
        <w:pStyle w:val="Body"/>
        <w:bidi w:val="0"/>
      </w:pPr>
    </w:p>
    <w:p>
      <w:pPr>
        <w:pStyle w:val="Heading"/>
        <w:bidi w:val="0"/>
      </w:pPr>
      <w:bookmarkStart w:name="_Toc4" w:id="4"/>
      <w:r>
        <w:rPr>
          <w:rFonts w:cs="Arial Unicode MS" w:eastAsia="Arial Unicode MS"/>
          <w:rtl w:val="0"/>
          <w:lang w:val="en-US"/>
        </w:rPr>
        <w:t>Body part injured</w:t>
      </w:r>
      <w:bookmarkEnd w:id="4"/>
    </w:p>
    <w:p>
      <w:pPr>
        <w:pStyle w:val="Body 2"/>
        <w:bidi w:val="0"/>
      </w:pPr>
      <w:r>
        <w:rPr>
          <w:rFonts w:cs="Arial Unicode MS" w:eastAsia="Arial Unicode MS"/>
          <w:rtl w:val="0"/>
          <w:lang w:val="en-US"/>
        </w:rPr>
        <w:t>Of 118 types of body parts, the most common body part injured is hand, comprising of 11.79% of injured body parts. Followed by foot, and head, accounting for 10.47% and 8.79% respectively.</w:t>
      </w:r>
    </w:p>
    <w:tbl>
      <w:tblPr>
        <w:tblW w:w="3369"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37"/>
        <w:gridCol w:w="796"/>
        <w:gridCol w:w="1336"/>
      </w:tblGrid>
      <w:tr>
        <w:tblPrEx>
          <w:shd w:val="clear" w:color="auto" w:fill="auto"/>
        </w:tblPrEx>
        <w:trPr>
          <w:trHeight w:val="360" w:hRule="atLeast"/>
        </w:trPr>
        <w:tc>
          <w:tcPr>
            <w:tcW w:type="dxa" w:w="123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right"/>
              <w:rPr>
                <w:rtl w:val="0"/>
              </w:rPr>
            </w:pPr>
            <w:r>
              <w:rPr>
                <w:rFonts w:ascii="Times" w:hAnsi="Times"/>
                <w:b w:val="1"/>
                <w:bCs w:val="1"/>
                <w:sz w:val="24"/>
                <w:szCs w:val="24"/>
                <w:rtl w:val="0"/>
              </w:rPr>
              <w:t>bodyparts</w:t>
            </w:r>
          </w:p>
        </w:tc>
        <w:tc>
          <w:tcPr>
            <w:tcW w:type="dxa" w:w="79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right"/>
              <w:rPr>
                <w:rtl w:val="0"/>
              </w:rPr>
            </w:pPr>
            <w:r>
              <w:rPr>
                <w:rFonts w:ascii="Times" w:hAnsi="Times"/>
                <w:b w:val="1"/>
                <w:bCs w:val="1"/>
                <w:sz w:val="24"/>
                <w:szCs w:val="24"/>
                <w:rtl w:val="0"/>
              </w:rPr>
              <w:t>Count</w:t>
            </w:r>
          </w:p>
        </w:tc>
        <w:tc>
          <w:tcPr>
            <w:tcW w:type="dxa" w:w="133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right"/>
              <w:rPr>
                <w:rtl w:val="0"/>
              </w:rPr>
            </w:pPr>
            <w:r>
              <w:rPr>
                <w:rFonts w:ascii="Times" w:hAnsi="Times"/>
                <w:b w:val="1"/>
                <w:bCs w:val="1"/>
                <w:sz w:val="24"/>
                <w:szCs w:val="24"/>
                <w:rtl w:val="0"/>
              </w:rPr>
              <w:t>Percentage</w:t>
            </w:r>
          </w:p>
        </w:tc>
      </w:tr>
      <w:tr>
        <w:tblPrEx>
          <w:shd w:val="clear" w:color="auto" w:fill="auto"/>
        </w:tblPrEx>
        <w:trPr>
          <w:trHeight w:val="360" w:hRule="atLeast"/>
        </w:trPr>
        <w:tc>
          <w:tcPr>
            <w:tcW w:type="dxa" w:w="123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hand</w:t>
            </w:r>
          </w:p>
        </w:tc>
        <w:tc>
          <w:tcPr>
            <w:tcW w:type="dxa" w:w="79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3019</w:t>
            </w:r>
          </w:p>
        </w:tc>
        <w:tc>
          <w:tcPr>
            <w:tcW w:type="dxa" w:w="133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11.788824</w:t>
            </w:r>
          </w:p>
        </w:tc>
      </w:tr>
      <w:tr>
        <w:tblPrEx>
          <w:shd w:val="clear" w:color="auto" w:fill="auto"/>
        </w:tblPrEx>
        <w:trPr>
          <w:trHeight w:val="360" w:hRule="atLeast"/>
        </w:trPr>
        <w:tc>
          <w:tcPr>
            <w:tcW w:type="dxa" w:w="123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foot</w:t>
            </w:r>
          </w:p>
        </w:tc>
        <w:tc>
          <w:tcPr>
            <w:tcW w:type="dxa" w:w="79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2682</w:t>
            </w:r>
          </w:p>
        </w:tc>
        <w:tc>
          <w:tcPr>
            <w:tcW w:type="dxa" w:w="133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10.472881</w:t>
            </w:r>
          </w:p>
        </w:tc>
      </w:tr>
      <w:tr>
        <w:tblPrEx>
          <w:shd w:val="clear" w:color="auto" w:fill="auto"/>
        </w:tblPrEx>
        <w:trPr>
          <w:trHeight w:val="360" w:hRule="atLeast"/>
        </w:trPr>
        <w:tc>
          <w:tcPr>
            <w:tcW w:type="dxa" w:w="123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head</w:t>
            </w:r>
          </w:p>
        </w:tc>
        <w:tc>
          <w:tcPr>
            <w:tcW w:type="dxa" w:w="79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2250</w:t>
            </w:r>
          </w:p>
        </w:tc>
        <w:tc>
          <w:tcPr>
            <w:tcW w:type="dxa" w:w="133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8.785974</w:t>
            </w:r>
          </w:p>
        </w:tc>
      </w:tr>
      <w:tr>
        <w:tblPrEx>
          <w:shd w:val="clear" w:color="auto" w:fill="auto"/>
        </w:tblPrEx>
        <w:trPr>
          <w:trHeight w:val="360" w:hRule="atLeast"/>
        </w:trPr>
        <w:tc>
          <w:tcPr>
            <w:tcW w:type="dxa" w:w="123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finger</w:t>
            </w:r>
          </w:p>
        </w:tc>
        <w:tc>
          <w:tcPr>
            <w:tcW w:type="dxa" w:w="79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1936</w:t>
            </w:r>
          </w:p>
        </w:tc>
        <w:tc>
          <w:tcPr>
            <w:tcW w:type="dxa" w:w="133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7.559842</w:t>
            </w:r>
          </w:p>
        </w:tc>
      </w:tr>
      <w:tr>
        <w:tblPrEx>
          <w:shd w:val="clear" w:color="auto" w:fill="auto"/>
        </w:tblPrEx>
        <w:trPr>
          <w:trHeight w:val="360" w:hRule="atLeast"/>
        </w:trPr>
        <w:tc>
          <w:tcPr>
            <w:tcW w:type="dxa" w:w="123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back</w:t>
            </w:r>
          </w:p>
        </w:tc>
        <w:tc>
          <w:tcPr>
            <w:tcW w:type="dxa" w:w="79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1596</w:t>
            </w:r>
          </w:p>
        </w:tc>
        <w:tc>
          <w:tcPr>
            <w:tcW w:type="dxa" w:w="133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6.232184</w:t>
            </w:r>
          </w:p>
        </w:tc>
      </w:tr>
      <w:tr>
        <w:tblPrEx>
          <w:shd w:val="clear" w:color="auto" w:fill="auto"/>
        </w:tblPrEx>
        <w:trPr>
          <w:trHeight w:val="360" w:hRule="atLeast"/>
        </w:trPr>
        <w:tc>
          <w:tcPr>
            <w:tcW w:type="dxa" w:w="123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79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c>
          <w:tcPr>
            <w:tcW w:type="dxa" w:w="133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w:t>
            </w:r>
          </w:p>
        </w:tc>
      </w:tr>
    </w:tbl>
    <w:p>
      <w:pPr>
        <w:pStyle w:val="Default"/>
        <w:bidi w:val="0"/>
        <w:spacing w:line="280" w:lineRule="atLeast"/>
        <w:ind w:left="0" w:right="0" w:firstLine="0"/>
        <w:jc w:val="center"/>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Heading"/>
        <w:bidi w:val="0"/>
      </w:pPr>
      <w:bookmarkStart w:name="_Toc5" w:id="5"/>
      <w:r>
        <w:rPr>
          <w:rFonts w:cs="Arial Unicode MS" w:eastAsia="Arial Unicode MS"/>
          <w:rtl w:val="0"/>
          <w:lang w:val="en-US"/>
        </w:rPr>
        <w:t>Activity prior to accident</w:t>
      </w:r>
      <w:bookmarkEnd w:id="5"/>
    </w:p>
    <w:p>
      <w:pPr>
        <w:pStyle w:val="Body 2"/>
        <w:bidi w:val="0"/>
      </w:pPr>
    </w:p>
    <w:p>
      <w:pPr>
        <w:pStyle w:val="Body 2"/>
        <w:bidi w:val="0"/>
      </w:pPr>
    </w:p>
    <w:p>
      <w:pPr>
        <w:pStyle w:val="Heading"/>
        <w:bidi w:val="0"/>
      </w:pPr>
      <w:bookmarkStart w:name="_Toc6" w:id="6"/>
      <w:r>
        <w:rPr>
          <w:rFonts w:cs="Arial Unicode MS" w:eastAsia="Arial Unicode MS"/>
          <w:rtl w:val="0"/>
          <w:lang w:val="en-US"/>
        </w:rPr>
        <w:t>Conclusion</w:t>
      </w:r>
      <w:bookmarkEnd w:id="6"/>
    </w:p>
    <w:p>
      <w:pPr>
        <w:pStyle w:val="Body"/>
        <w:bidi w:val="0"/>
        <w:rPr>
          <w:i w:val="1"/>
          <w:iCs w:val="1"/>
        </w:rPr>
      </w:pPr>
      <w:r>
        <w:rPr>
          <w:rtl w:val="0"/>
        </w:rPr>
        <w:t>(</w:t>
      </w:r>
      <w:r>
        <w:rPr>
          <w:i w:val="1"/>
          <w:iCs w:val="1"/>
          <w:rtl w:val="0"/>
          <w:lang w:val="en-US"/>
        </w:rPr>
        <w:t>What was found</w:t>
      </w:r>
    </w:p>
    <w:p>
      <w:pPr>
        <w:pStyle w:val="Body"/>
        <w:rPr>
          <w:i w:val="1"/>
          <w:iCs w:val="1"/>
        </w:rPr>
      </w:pPr>
      <w:r>
        <w:rPr>
          <w:i w:val="1"/>
          <w:iCs w:val="1"/>
          <w:rtl w:val="0"/>
          <w:lang w:val="en-US"/>
        </w:rPr>
        <w:t>What was not found out</w:t>
      </w:r>
    </w:p>
    <w:p>
      <w:pPr>
        <w:pStyle w:val="Body"/>
        <w:rPr>
          <w:i w:val="1"/>
          <w:iCs w:val="1"/>
        </w:rPr>
      </w:pPr>
      <w:r>
        <w:rPr>
          <w:i w:val="1"/>
          <w:iCs w:val="1"/>
          <w:rtl w:val="0"/>
          <w:lang w:val="en-US"/>
        </w:rPr>
        <w:t>What actions should be done or taken out</w:t>
      </w:r>
    </w:p>
    <w:p>
      <w:pPr>
        <w:pStyle w:val="Body"/>
        <w:rPr>
          <w:i w:val="1"/>
          <w:iCs w:val="1"/>
        </w:rPr>
      </w:pPr>
      <w:r>
        <w:rPr>
          <w:i w:val="1"/>
          <w:iCs w:val="1"/>
          <w:rtl w:val="0"/>
          <w:lang w:val="en-US"/>
        </w:rPr>
        <w:t>How the results can be used (describe an implementation plan)</w:t>
      </w:r>
    </w:p>
    <w:p>
      <w:pPr>
        <w:pStyle w:val="Body"/>
        <w:bidi w:val="0"/>
      </w:pPr>
      <w:r>
        <w:rPr>
          <w:i w:val="1"/>
          <w:iCs w:val="1"/>
          <w:rtl w:val="0"/>
          <w:lang w:val="en-US"/>
        </w:rPr>
        <w:t>Further recommended research</w:t>
      </w:r>
      <w:r>
        <w:rPr>
          <w:rtl w:val="0"/>
        </w:rPr>
        <w:t>)</w:t>
      </w:r>
    </w:p>
    <w:p>
      <w:pPr>
        <w:pStyle w:val="Body 2"/>
        <w:bidi w:val="0"/>
      </w:pPr>
      <w:r>
        <w:rPr>
          <w:rFonts w:cs="Arial Unicode MS" w:eastAsia="Arial Unicode MS"/>
          <w:rtl w:val="0"/>
          <w:lang w:val="en-US"/>
        </w:rPr>
        <w:t xml:space="preserve">Conclusion </w:t>
      </w:r>
      <w:r>
        <w:rPr>
          <w:rFonts w:cs="Arial Unicode MS" w:eastAsia="Arial Unicode MS" w:hint="default"/>
          <w:rtl w:val="0"/>
          <w:lang w:val="en-US"/>
        </w:rPr>
        <w:t>…</w:t>
      </w:r>
    </w:p>
    <w:p>
      <w:pPr>
        <w:pStyle w:val="Heading"/>
        <w:bidi w:val="0"/>
      </w:pPr>
      <w:bookmarkStart w:name="_Toc7" w:id="7"/>
      <w:r>
        <w:rPr>
          <w:rFonts w:cs="Arial Unicode MS" w:eastAsia="Arial Unicode MS"/>
          <w:rtl w:val="0"/>
          <w:lang w:val="en-US"/>
        </w:rPr>
        <w:t>References</w:t>
      </w:r>
      <w:bookmarkEnd w:id="7"/>
    </w:p>
    <w:p>
      <w:pPr>
        <w:pStyle w:val="Default"/>
        <w:bidi w:val="0"/>
        <w:spacing w:line="280" w:lineRule="atLeast"/>
        <w:ind w:left="0" w:right="0" w:firstLine="0"/>
        <w:jc w:val="left"/>
        <w:rPr>
          <w:rFonts w:ascii="Times" w:cs="Times" w:hAnsi="Times" w:eastAsia="Times"/>
          <w:sz w:val="24"/>
          <w:szCs w:val="24"/>
          <w:rtl w:val="0"/>
        </w:rPr>
      </w:pPr>
    </w:p>
    <w:p>
      <w:pPr>
        <w:pStyle w:val="Footnote"/>
        <w:bidi w:val="0"/>
      </w:pPr>
      <w:r>
        <w:rPr>
          <w:rtl w:val="0"/>
        </w:rPr>
        <w:t xml:space="preserve">1. </w:t>
      </w:r>
      <w:r>
        <w:rPr>
          <w:rtl w:val="0"/>
        </w:rPr>
        <w:t xml:space="preserve">UNITED STATES DEPARTMENT OF LABOR. 2017. </w:t>
      </w:r>
      <w:r>
        <w:rPr>
          <w:i w:val="1"/>
          <w:iCs w:val="1"/>
          <w:rtl w:val="0"/>
          <w:lang w:val="en-US"/>
        </w:rPr>
        <w:t>Severe Injury Reports | Occupational Safety and Health Administration</w:t>
      </w:r>
      <w:r>
        <w:rPr>
          <w:rtl w:val="0"/>
        </w:rPr>
        <w:t xml:space="preserve">. [ONLINE] Available at: </w:t>
      </w:r>
      <w:r>
        <w:rPr>
          <w:rStyle w:val="Hyperlink.0"/>
        </w:rPr>
        <w:fldChar w:fldCharType="begin" w:fldLock="0"/>
      </w:r>
      <w:r>
        <w:rPr>
          <w:rStyle w:val="Hyperlink.0"/>
        </w:rPr>
        <w:instrText xml:space="preserve"> HYPERLINK "https://www.osha.gov/severeinjury/index.html"</w:instrText>
      </w:r>
      <w:r>
        <w:rPr>
          <w:rStyle w:val="Hyperlink.0"/>
        </w:rPr>
        <w:fldChar w:fldCharType="separate" w:fldLock="0"/>
      </w:r>
      <w:r>
        <w:rPr>
          <w:rStyle w:val="Hyperlink.0"/>
          <w:rtl w:val="0"/>
        </w:rPr>
        <w:t>https://www.osha.gov/severeinjury/index.html</w:t>
      </w:r>
      <w:r>
        <w:rPr/>
        <w:fldChar w:fldCharType="end" w:fldLock="0"/>
      </w:r>
      <w:r>
        <w:rPr>
          <w:rtl w:val="0"/>
        </w:rPr>
        <w:t>. [Accessed 22 October 2017].</w:t>
      </w:r>
    </w:p>
    <w:p>
      <w:pPr>
        <w:pStyle w:val="Default"/>
        <w:bidi w:val="0"/>
        <w:spacing w:line="280" w:lineRule="atLeast"/>
        <w:ind w:left="0" w:right="0" w:firstLine="0"/>
        <w:jc w:val="left"/>
        <w:rPr>
          <w:rFonts w:ascii="Times" w:cs="Times" w:hAnsi="Times" w:eastAsia="Times"/>
          <w:sz w:val="24"/>
          <w:szCs w:val="24"/>
          <w:rtl w:val="0"/>
        </w:rPr>
      </w:pPr>
    </w:p>
    <w:p>
      <w:pPr>
        <w:pStyle w:val="Footnote"/>
        <w:bidi w:val="0"/>
      </w:pPr>
    </w:p>
    <w:p>
      <w:pPr>
        <w:pStyle w:val="Body 3"/>
        <w:bidi w:val="0"/>
      </w:pPr>
    </w:p>
    <w:p>
      <w:pPr>
        <w:pStyle w:val="Heading"/>
        <w:bidi w:val="0"/>
      </w:pPr>
      <w:bookmarkStart w:name="_Toc8" w:id="8"/>
      <w:r>
        <w:rPr>
          <w:rFonts w:cs="Arial Unicode MS" w:eastAsia="Arial Unicode MS"/>
          <w:rtl w:val="0"/>
          <w:lang w:val="en-US"/>
        </w:rPr>
        <w:t>Appendices</w:t>
      </w:r>
      <w:bookmarkEnd w:id="8"/>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Text Mining Project Report</w:t>
    </w:r>
    <w:r>
      <w:tab/>
      <w:tab/>
    </w:r>
    <w:r>
      <w:rPr>
        <w:rtl w:val="0"/>
        <w:lang w:val="en-US"/>
      </w:rPr>
      <w:t>MTech-KE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2">
    <w:name w:val="Title 2"/>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Heading">
    <w:name w:val="Heading"/>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000ee"/>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