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1F3864"/>
          <w:sz w:val="44"/>
          <w:szCs w:val="44"/>
        </w:rPr>
        <w:t xml:space="preserve">PostgreSQL → SQL Server Migration</w:t>
      </w:r>
    </w:p>
    <w:p>
      <w:pPr>
        <w:spacing w:after="40"/>
      </w:pPr>
      <w:r>
        <w:rPr>
          <w:color w:val="C55A11"/>
          <w:sz w:val="28"/>
          <w:szCs w:val="28"/>
        </w:rPr>
        <w:t xml:space="preserve">Phase-by-Phase Blueprint</w:t>
      </w:r>
    </w:p>
    <w:p>
      <w:pPr>
        <w:pBdr>
          <w:bottom w:val="single" w:color="1F3864" w:sz="8" w:space="4"/>
        </w:pBdr>
        <w:spacing w:after="240"/>
      </w:pPr>
      <w:r>
        <w:rPr>
          <w:i/>
          <w:iCs/>
          <w:color w:val="595959"/>
          <w:sz w:val="20"/>
          <w:szCs w:val="20"/>
        </w:rPr>
        <w:t xml:space="preserve">Working plan for Project 1 — formatted to mirror the PostgreSQL DBA / MySQL DBA project pages on nasaryobee.com</w:t>
      </w:r>
    </w:p>
    <w:p>
      <w:pPr>
        <w:spacing w:after="120"/>
      </w:pPr>
      <w:r>
        <w:t xml:space="preserve">This is a working execution blueprint for six phases — matching the structure your existing PostgreSQL DBA and MySQL DBA projects use. Each phase below gives you: the goal, the concrete technical steps, tools, what to measure, what to screenshot, and a draft card blurb you can refine once you have real numbers, ready to drop into an overview page + six phase pages on your site.</w:t>
      </w:r>
    </w:p>
    <w:p>
      <w:pPr>
        <w:pStyle w:val="Heading2"/>
        <w:spacing w:after="120" w:before="300"/>
      </w:pPr>
      <w:r>
        <w:rPr>
          <w:color w:val="1F3864"/>
        </w:rPr>
        <w:t xml:space="preserve">Suggested Overview-Page Stat Tiles</w:t>
      </w:r>
    </w:p>
    <w:p>
      <w:pPr>
        <w:spacing w:after="120"/>
      </w:pPr>
      <w:r>
        <w:t xml:space="preserve">Placeholders to fill in once the migration is complete — same tile format as your MySQL project (rows loaded, tables, size, % improvement, phase count):</w:t>
      </w:r>
    </w:p>
    <w:p>
      <w:pPr>
        <w:pStyle w:val="ListParagraph"/>
        <w:numPr>
          <w:ilvl w:val="0"/>
          <w:numId w:val="2"/>
        </w:numPr>
        <w:spacing w:after="60"/>
      </w:pPr>
      <w:r>
        <w:t xml:space="preserve">[ ] Rows Migrated — total row count across all tables</w:t>
      </w:r>
    </w:p>
    <w:p>
      <w:pPr>
        <w:pStyle w:val="ListParagraph"/>
        <w:numPr>
          <w:ilvl w:val="0"/>
          <w:numId w:val="2"/>
        </w:numPr>
        <w:spacing w:after="60"/>
      </w:pPr>
      <w:r>
        <w:t xml:space="preserve">[ ] Tables Migrated — object count from schema inventory</w:t>
      </w:r>
    </w:p>
    <w:p>
      <w:pPr>
        <w:pStyle w:val="ListParagraph"/>
        <w:numPr>
          <w:ilvl w:val="0"/>
          <w:numId w:val="2"/>
        </w:numPr>
        <w:spacing w:after="60"/>
      </w:pPr>
      <w:r>
        <w:t xml:space="preserve">[ ] Database Size — target SQL Server DB size (GB)</w:t>
      </w:r>
    </w:p>
    <w:p>
      <w:pPr>
        <w:pStyle w:val="ListParagraph"/>
        <w:numPr>
          <w:ilvl w:val="0"/>
          <w:numId w:val="2"/>
        </w:numPr>
        <w:spacing w:after="60"/>
      </w:pPr>
      <w:r>
        <w:t xml:space="preserve">[ ] Query Performance Improvement — % change on representative queries after tuning</w:t>
      </w:r>
    </w:p>
    <w:p>
      <w:pPr>
        <w:pStyle w:val="ListParagraph"/>
        <w:numPr>
          <w:ilvl w:val="0"/>
          <w:numId w:val="2"/>
        </w:numPr>
        <w:spacing w:after="60"/>
      </w:pPr>
      <w:r>
        <w:t xml:space="preserve">[ ] Phases — 6</w:t>
      </w:r>
    </w:p>
    <w:p>
      <w:r>
        <w:br w:type="page"/>
      </w:r>
    </w:p>
    <w:p>
      <w:pPr>
        <w:spacing w:after="20" w:before="400"/>
      </w:pPr>
      <w:r>
        <w:rPr>
          <w:b/>
          <w:bCs/>
          <w:color w:val="C55A11"/>
          <w:sz w:val="20"/>
          <w:szCs w:val="20"/>
        </w:rPr>
        <w:t xml:space="preserve">PHASE 1 — ASSESSMENT</w:t>
      </w:r>
    </w:p>
    <w:p>
      <w:pPr>
        <w:pBdr>
          <w:bottom w:val="single" w:color="1F3864" w:sz="6" w:space="4"/>
        </w:pBdr>
        <w:spacing w:after="160"/>
      </w:pPr>
      <w:r>
        <w:rPr>
          <w:b/>
          <w:bCs/>
          <w:color w:val="1F3864"/>
          <w:sz w:val="32"/>
          <w:szCs w:val="32"/>
        </w:rPr>
        <w:t xml:space="preserve">Assessment &amp; Environment Prep</w:t>
      </w:r>
    </w:p>
    <w:p>
      <w:pPr>
        <w:spacing w:after="60" w:before="160"/>
      </w:pPr>
      <w:r>
        <w:rPr>
          <w:b/>
          <w:bCs/>
          <w:color w:val="C55A11"/>
          <w:sz w:val="20"/>
          <w:szCs w:val="20"/>
        </w:rPr>
        <w:t xml:space="preserve">Goal</w:t>
      </w:r>
    </w:p>
    <w:p>
      <w:pPr>
        <w:spacing w:after="120"/>
      </w:pPr>
      <w:r>
        <w:t xml:space="preserve">Fully understand the source PostgreSQL database before writing a single line of T-SQL, and get SQL Server and tooling ready so conversion work isn't blocked later.</w:t>
      </w:r>
    </w:p>
    <w:p>
      <w:pPr>
        <w:spacing w:after="60" w:before="160"/>
      </w:pPr>
      <w:r>
        <w:rPr>
          <w:b/>
          <w:bCs/>
          <w:color w:val="C55A11"/>
          <w:sz w:val="20"/>
          <w:szCs w:val="20"/>
        </w:rPr>
        <w:t xml:space="preserve">Key Technical Steps</w:t>
      </w:r>
    </w:p>
    <w:p>
      <w:pPr>
        <w:pStyle w:val="ListParagraph"/>
        <w:numPr>
          <w:ilvl w:val="0"/>
          <w:numId w:val="2"/>
        </w:numPr>
        <w:spacing w:after="60"/>
      </w:pPr>
      <w:r>
        <w:t xml:space="preserve">Query information_schema / pg_catalog to inventory tables, columns, data types, PK/FK, constraints, indexes, views, functions, triggers, and sequences</w:t>
      </w:r>
    </w:p>
    <w:p>
      <w:pPr>
        <w:pStyle w:val="ListParagraph"/>
        <w:numPr>
          <w:ilvl w:val="0"/>
          <w:numId w:val="2"/>
        </w:numPr>
        <w:spacing w:after="60"/>
      </w:pPr>
      <w:r>
        <w:t xml:space="preserve">Capture size and row counts per table (pg_total_relation_size, pg_stat_user_tables)</w:t>
      </w:r>
    </w:p>
    <w:p>
      <w:pPr>
        <w:pStyle w:val="ListParagraph"/>
        <w:numPr>
          <w:ilvl w:val="0"/>
          <w:numId w:val="2"/>
        </w:numPr>
        <w:spacing w:after="60"/>
      </w:pPr>
      <w:r>
        <w:t xml:space="preserve">Flag PostgreSQL-specific features with no direct SQL Server equivalent: arrays, JSONB, custom types/domains, table inheritance, partial indexes, extensions (e.g., PostGIS, uuid-ossp)</w:t>
      </w:r>
    </w:p>
    <w:p>
      <w:pPr>
        <w:pStyle w:val="ListParagraph"/>
        <w:numPr>
          <w:ilvl w:val="0"/>
          <w:numId w:val="2"/>
        </w:numPr>
        <w:spacing w:after="60"/>
      </w:pPr>
      <w:r>
        <w:t xml:space="preserve">Evaluate migration tooling — SQL Server Migration Assistant (SSMA) for PostgreSQL vs. a custom scripted schema + ETL approach — and document the trade-offs</w:t>
      </w:r>
    </w:p>
    <w:p>
      <w:pPr>
        <w:pStyle w:val="ListParagraph"/>
        <w:numPr>
          <w:ilvl w:val="0"/>
          <w:numId w:val="2"/>
        </w:numPr>
        <w:spacing w:after="60"/>
      </w:pPr>
      <w:r>
        <w:t xml:space="preserve">Install and configure SQL Server 2025 Developer Edition + SSMS; confirm connectivity to the source PostgreSQL instance</w:t>
      </w:r>
    </w:p>
    <w:p>
      <w:pPr>
        <w:pStyle w:val="ListParagraph"/>
        <w:numPr>
          <w:ilvl w:val="0"/>
          <w:numId w:val="2"/>
        </w:numPr>
        <w:spacing w:after="60"/>
      </w:pPr>
      <w:r>
        <w:t xml:space="preserve">Set up the repo structure — sql/, docs/, data/, screenshots/, backups/ — mirroring your existing project convention</w:t>
      </w:r>
    </w:p>
    <w:p>
      <w:pPr>
        <w:spacing w:after="60" w:before="160"/>
      </w:pPr>
      <w:r>
        <w:rPr>
          <w:b/>
          <w:bCs/>
          <w:color w:val="C55A11"/>
          <w:sz w:val="20"/>
          <w:szCs w:val="20"/>
        </w:rPr>
        <w:t xml:space="preserve">Deliverable</w:t>
      </w:r>
    </w:p>
    <w:p>
      <w:pPr>
        <w:spacing w:after="120"/>
      </w:pPr>
      <w:r>
        <w:t xml:space="preserve">Assessment report (full object inventory + sizing) and a migration-tooling decision document.</w:t>
      </w:r>
    </w:p>
    <w:p>
      <w:pPr>
        <w:spacing w:after="60" w:before="160"/>
      </w:pPr>
      <w:r>
        <w:rPr>
          <w:b/>
          <w:bCs/>
          <w:color w:val="C55A11"/>
          <w:sz w:val="20"/>
          <w:szCs w:val="20"/>
        </w:rPr>
        <w:t xml:space="preserve">Metrics to Capture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color="auto" w:val="clear"/>
            <w:tcMar>
              <w:top w:type="dxa" w:w="80"/>
              <w:left w:type="dxa" w:w="100"/>
              <w:bottom w:type="dxa" w:w="80"/>
              <w:right w:type="dxa" w:w="100"/>
            </w:tcMar>
          </w:tcPr>
          <w:p>
            <w:r>
              <w:rPr>
                <w:b/>
                <w:bCs/>
                <w:color w:val="FFFFFF"/>
              </w:rPr>
              <w:t xml:space="preserve">Metric</w:t>
            </w:r>
          </w:p>
        </w:tc>
        <w:tc>
          <w:tcPr>
            <w:tcW w:type="dxa" w:w="4675"/>
            <w:shd w:fill="1F3864" w:color="auto" w:val="clear"/>
            <w:tcMar>
              <w:top w:type="dxa" w:w="80"/>
              <w:left w:type="dxa" w:w="100"/>
              <w:bottom w:type="dxa" w:w="80"/>
              <w:right w:type="dxa" w:w="100"/>
            </w:tcMar>
          </w:tcPr>
          <w:p>
            <w:r>
              <w:rPr>
                <w:b w:val="false"/>
                <w:bCs w:val="false"/>
                <w:color w:val="FFFFFF"/>
              </w:rPr>
              <w:t xml:space="preserve">Placeholder</w:t>
            </w:r>
          </w:p>
        </w:tc>
      </w:tr>
      <w:tr>
        <w:tc>
          <w:tcPr>
            <w:tcW w:type="dxa" w:w="4675"/>
            <w:shd w:fill="FFFFFF" w:color="auto" w:val="clear"/>
            <w:tcMar>
              <w:top w:type="dxa" w:w="80"/>
              <w:left w:type="dxa" w:w="100"/>
              <w:bottom w:type="dxa" w:w="80"/>
              <w:right w:type="dxa" w:w="100"/>
            </w:tcMar>
          </w:tcPr>
          <w:p>
            <w:r>
              <w:rPr>
                <w:b/>
                <w:bCs/>
                <w:color w:val="000000"/>
              </w:rPr>
              <w:t xml:space="preserve">Total tables</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Total rows (source)</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r>
        <w:tc>
          <w:tcPr>
            <w:tcW w:type="dxa" w:w="4675"/>
            <w:shd w:fill="FFFFFF" w:color="auto" w:val="clear"/>
            <w:tcMar>
              <w:top w:type="dxa" w:w="80"/>
              <w:left w:type="dxa" w:w="100"/>
              <w:bottom w:type="dxa" w:w="80"/>
              <w:right w:type="dxa" w:w="100"/>
            </w:tcMar>
          </w:tcPr>
          <w:p>
            <w:r>
              <w:rPr>
                <w:b/>
                <w:bCs/>
                <w:color w:val="000000"/>
              </w:rPr>
              <w:t xml:space="preserve">Source database size</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Views / functions / triggers / sequences</w:t>
            </w:r>
          </w:p>
        </w:tc>
        <w:tc>
          <w:tcPr>
            <w:tcW w:type="dxa" w:w="4675"/>
            <w:shd w:fill="FBEBDD" w:color="auto" w:val="clear"/>
            <w:tcMar>
              <w:top w:type="dxa" w:w="80"/>
              <w:left w:type="dxa" w:w="100"/>
              <w:bottom w:type="dxa" w:w="80"/>
              <w:right w:type="dxa" w:w="100"/>
            </w:tcMar>
          </w:tcPr>
          <w:p>
            <w:r>
              <w:rPr>
                <w:b w:val="false"/>
                <w:bCs w:val="false"/>
                <w:color w:val="000000"/>
              </w:rPr>
              <w:t xml:space="preserve">[ ] / [ ] / [ ] / [ ]</w:t>
            </w:r>
          </w:p>
        </w:tc>
      </w:tr>
      <w:tr>
        <w:tc>
          <w:tcPr>
            <w:tcW w:type="dxa" w:w="4675"/>
            <w:shd w:fill="FFFFFF" w:color="auto" w:val="clear"/>
            <w:tcMar>
              <w:top w:type="dxa" w:w="80"/>
              <w:left w:type="dxa" w:w="100"/>
              <w:bottom w:type="dxa" w:w="80"/>
              <w:right w:type="dxa" w:w="100"/>
            </w:tcMar>
          </w:tcPr>
          <w:p>
            <w:r>
              <w:rPr>
                <w:b/>
                <w:bCs/>
                <w:color w:val="000000"/>
              </w:rPr>
              <w:t xml:space="preserve">PostgreSQL-specific features flagged</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bl>
    <w:p>
      <w:pPr>
        <w:spacing w:after="60" w:before="160"/>
      </w:pPr>
      <w:r>
        <w:rPr>
          <w:b/>
          <w:bCs/>
          <w:color w:val="C55A11"/>
          <w:sz w:val="20"/>
          <w:szCs w:val="20"/>
        </w:rPr>
        <w:t xml:space="preserve">Screenshot Ideas</w:t>
      </w:r>
    </w:p>
    <w:p>
      <w:pPr>
        <w:pStyle w:val="ListParagraph"/>
        <w:numPr>
          <w:ilvl w:val="0"/>
          <w:numId w:val="2"/>
        </w:numPr>
        <w:spacing w:after="60"/>
      </w:pPr>
      <w:r>
        <w:t xml:space="preserve">SSMA project inventory / assessment report screen</w:t>
      </w:r>
    </w:p>
    <w:p>
      <w:pPr>
        <w:pStyle w:val="ListParagraph"/>
        <w:numPr>
          <w:ilvl w:val="0"/>
          <w:numId w:val="2"/>
        </w:numPr>
        <w:spacing w:after="60"/>
      </w:pPr>
      <w:r>
        <w:t xml:space="preserve">pg_catalog inventory query + results</w:t>
      </w:r>
    </w:p>
    <w:p>
      <w:pPr>
        <w:pStyle w:val="ListParagraph"/>
        <w:numPr>
          <w:ilvl w:val="0"/>
          <w:numId w:val="2"/>
        </w:numPr>
        <w:spacing w:after="60"/>
      </w:pPr>
      <w:r>
        <w:t xml:space="preserve">Repo folder structure in VS Code</w:t>
      </w:r>
    </w:p>
    <w:p>
      <w:pPr>
        <w:spacing w:after="60" w:before="160"/>
      </w:pPr>
      <w:r>
        <w:rPr>
          <w:b/>
          <w:bCs/>
          <w:color w:val="C55A11"/>
          <w:sz w:val="20"/>
          <w:szCs w:val="20"/>
        </w:rPr>
        <w:t xml:space="preserve">Draft Card Blurb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D5BC" w:sz="4"/>
              <w:left w:val="single" w:color="E8D5BC" w:sz="4"/>
              <w:bottom w:val="single" w:color="E8D5BC" w:sz="4"/>
              <w:right w:val="single" w:color="E8D5BC" w:sz="4"/>
            </w:tcBorders>
            <w:shd w:fill="FFF8EF" w:color="auto" w:val="clear"/>
            <w:tcMar>
              <w:top w:type="dxa" w:w="200"/>
              <w:left w:type="dxa" w:w="220"/>
              <w:bottom w:type="dxa" w:w="200"/>
              <w:right w:type="dxa" w:w="220"/>
            </w:tcMar>
          </w:tcPr>
          <w:p>
            <w:r>
              <w:rPr>
                <w:b/>
                <w:bCs/>
                <w:color w:val="C55A11"/>
                <w:sz w:val="18"/>
                <w:szCs w:val="18"/>
              </w:rPr>
              <w:t xml:space="preserve">PHASE 01 — ASSESSMENT</w:t>
            </w:r>
          </w:p>
          <w:p>
            <w:pPr>
              <w:spacing w:before="60"/>
            </w:pPr>
            <w:r>
              <w:rPr>
                <w:b/>
                <w:bCs/>
                <w:color w:val="1F3864"/>
                <w:sz w:val="24"/>
                <w:szCs w:val="24"/>
              </w:rPr>
              <w:t xml:space="preserve">Assessment &amp; Environment Prep</w:t>
            </w:r>
          </w:p>
          <w:p>
            <w:pPr>
              <w:spacing w:before="80"/>
            </w:pPr>
            <w:r>
              <w:rPr>
                <w:color w:val="333333"/>
              </w:rPr>
              <w:t xml:space="preserve">I inventoried every table, constraint, index, view, function, and trigger in the source PostgreSQL database, flagged features with no direct SQL Server equivalent, and evaluated migration tooling before writing any conversion code.</w:t>
            </w:r>
          </w:p>
        </w:tc>
      </w:tr>
    </w:tbl>
    <w:p>
      <w:r>
        <w:br w:type="page"/>
      </w:r>
    </w:p>
    <w:p>
      <w:pPr>
        <w:spacing w:after="20" w:before="400"/>
      </w:pPr>
      <w:r>
        <w:rPr>
          <w:b/>
          <w:bCs/>
          <w:color w:val="C55A11"/>
          <w:sz w:val="20"/>
          <w:szCs w:val="20"/>
        </w:rPr>
        <w:t xml:space="preserve">PHASE 2 — SCHEMA CONVERSION</w:t>
      </w:r>
    </w:p>
    <w:p>
      <w:pPr>
        <w:pBdr>
          <w:bottom w:val="single" w:color="1F3864" w:sz="6" w:space="4"/>
        </w:pBdr>
        <w:spacing w:after="160"/>
      </w:pPr>
      <w:r>
        <w:rPr>
          <w:b/>
          <w:bCs/>
          <w:color w:val="1F3864"/>
          <w:sz w:val="32"/>
          <w:szCs w:val="32"/>
        </w:rPr>
        <w:t xml:space="preserve">Schema Conversion</w:t>
      </w:r>
    </w:p>
    <w:p>
      <w:pPr>
        <w:spacing w:after="60" w:before="160"/>
      </w:pPr>
      <w:r>
        <w:rPr>
          <w:b/>
          <w:bCs/>
          <w:color w:val="C55A11"/>
          <w:sz w:val="20"/>
          <w:szCs w:val="20"/>
        </w:rPr>
        <w:t xml:space="preserve">Goal</w:t>
      </w:r>
    </w:p>
    <w:p>
      <w:pPr>
        <w:spacing w:after="120"/>
      </w:pPr>
      <w:r>
        <w:t xml:space="preserve">Convert the full PostgreSQL DDL into T-SQL equivalents while preserving every relationship, constraint, and business rule.</w:t>
      </w:r>
    </w:p>
    <w:p>
      <w:pPr>
        <w:spacing w:after="60" w:before="160"/>
      </w:pPr>
      <w:r>
        <w:rPr>
          <w:b/>
          <w:bCs/>
          <w:color w:val="C55A11"/>
          <w:sz w:val="20"/>
          <w:szCs w:val="20"/>
        </w:rPr>
        <w:t xml:space="preserve">Key Technical Steps</w:t>
      </w:r>
    </w:p>
    <w:p>
      <w:pPr>
        <w:pStyle w:val="ListParagraph"/>
        <w:numPr>
          <w:ilvl w:val="0"/>
          <w:numId w:val="2"/>
        </w:numPr>
        <w:spacing w:after="60"/>
      </w:pPr>
      <w:r>
        <w:t xml:space="preserve">Run SSMA schema conversion (or hand-convert DDL) for tables, primary/foreign keys, CHECK/UNIQUE constraints, and indexes</w:t>
      </w:r>
    </w:p>
    <w:p>
      <w:pPr>
        <w:pStyle w:val="ListParagraph"/>
        <w:numPr>
          <w:ilvl w:val="0"/>
          <w:numId w:val="2"/>
        </w:numPr>
        <w:spacing w:after="60"/>
      </w:pPr>
      <w:r>
        <w:t xml:space="preserve">Map PostgreSQL types to SQL Server types: SERIAL/BIGSERIAL → IDENTITY, TEXT → NVARCHAR(MAX), JSONB → NVARCHAR(MAX) + JSON functions, BOOLEAN → BIT, TIMESTAMP WITH TIME ZONE → DATETIMEOFFSET</w:t>
      </w:r>
    </w:p>
    <w:p>
      <w:pPr>
        <w:pStyle w:val="ListParagraph"/>
        <w:numPr>
          <w:ilvl w:val="0"/>
          <w:numId w:val="2"/>
        </w:numPr>
        <w:spacing w:after="60"/>
      </w:pPr>
      <w:r>
        <w:t xml:space="preserve">Convert sequences to IDENTITY columns or native SEQUENCE objects, preserving current values</w:t>
      </w:r>
    </w:p>
    <w:p>
      <w:pPr>
        <w:pStyle w:val="ListParagraph"/>
        <w:numPr>
          <w:ilvl w:val="0"/>
          <w:numId w:val="2"/>
        </w:numPr>
        <w:spacing w:after="60"/>
      </w:pPr>
      <w:r>
        <w:t xml:space="preserve">Rewrite views, and translate stored functions/procedures from PL/pgSQL to T-SQL (control flow, error handling, RETURN vs. OUTPUT parameters)</w:t>
      </w:r>
    </w:p>
    <w:p>
      <w:pPr>
        <w:pStyle w:val="ListParagraph"/>
        <w:numPr>
          <w:ilvl w:val="0"/>
          <w:numId w:val="2"/>
        </w:numPr>
        <w:spacing w:after="60"/>
      </w:pPr>
      <w:r>
        <w:t xml:space="preserve">Rewrite triggers using SQL Server AFTER/INSTEAD OF trigger syntax</w:t>
      </w:r>
    </w:p>
    <w:p>
      <w:pPr>
        <w:pStyle w:val="ListParagraph"/>
        <w:numPr>
          <w:ilvl w:val="0"/>
          <w:numId w:val="2"/>
        </w:numPr>
        <w:spacing w:after="60"/>
      </w:pPr>
      <w:r>
        <w:t xml:space="preserve">Build a type- and object-mapping matrix documenting every conversion decision</w:t>
      </w:r>
    </w:p>
    <w:p>
      <w:pPr>
        <w:spacing w:after="60" w:before="160"/>
      </w:pPr>
      <w:r>
        <w:rPr>
          <w:b/>
          <w:bCs/>
          <w:color w:val="C55A11"/>
          <w:sz w:val="20"/>
          <w:szCs w:val="20"/>
        </w:rPr>
        <w:t xml:space="preserve">Deliverable</w:t>
      </w:r>
    </w:p>
    <w:p>
      <w:pPr>
        <w:spacing w:after="120"/>
      </w:pPr>
      <w:r>
        <w:t xml:space="preserve">Converted schema scripts (DDL) plus a full object-mapping matrix.</w:t>
      </w:r>
    </w:p>
    <w:p>
      <w:pPr>
        <w:spacing w:after="60" w:before="160"/>
      </w:pPr>
      <w:r>
        <w:rPr>
          <w:b/>
          <w:bCs/>
          <w:color w:val="C55A11"/>
          <w:sz w:val="20"/>
          <w:szCs w:val="20"/>
        </w:rPr>
        <w:t xml:space="preserve">Metrics to Capture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color="auto" w:val="clear"/>
            <w:tcMar>
              <w:top w:type="dxa" w:w="80"/>
              <w:left w:type="dxa" w:w="100"/>
              <w:bottom w:type="dxa" w:w="80"/>
              <w:right w:type="dxa" w:w="100"/>
            </w:tcMar>
          </w:tcPr>
          <w:p>
            <w:r>
              <w:rPr>
                <w:b/>
                <w:bCs/>
                <w:color w:val="FFFFFF"/>
              </w:rPr>
              <w:t xml:space="preserve">Metric</w:t>
            </w:r>
          </w:p>
        </w:tc>
        <w:tc>
          <w:tcPr>
            <w:tcW w:type="dxa" w:w="4675"/>
            <w:shd w:fill="1F3864" w:color="auto" w:val="clear"/>
            <w:tcMar>
              <w:top w:type="dxa" w:w="80"/>
              <w:left w:type="dxa" w:w="100"/>
              <w:bottom w:type="dxa" w:w="80"/>
              <w:right w:type="dxa" w:w="100"/>
            </w:tcMar>
          </w:tcPr>
          <w:p>
            <w:r>
              <w:rPr>
                <w:b w:val="false"/>
                <w:bCs w:val="false"/>
                <w:color w:val="FFFFFF"/>
              </w:rPr>
              <w:t xml:space="preserve">Placeholder</w:t>
            </w:r>
          </w:p>
        </w:tc>
      </w:tr>
      <w:tr>
        <w:tc>
          <w:tcPr>
            <w:tcW w:type="dxa" w:w="4675"/>
            <w:shd w:fill="FFFFFF" w:color="auto" w:val="clear"/>
            <w:tcMar>
              <w:top w:type="dxa" w:w="80"/>
              <w:left w:type="dxa" w:w="100"/>
              <w:bottom w:type="dxa" w:w="80"/>
              <w:right w:type="dxa" w:w="100"/>
            </w:tcMar>
          </w:tcPr>
          <w:p>
            <w:r>
              <w:rPr>
                <w:b/>
                <w:bCs/>
                <w:color w:val="000000"/>
              </w:rPr>
              <w:t xml:space="preserve">Tables converted</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Type-mapping exceptions handled</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r>
        <w:tc>
          <w:tcPr>
            <w:tcW w:type="dxa" w:w="4675"/>
            <w:shd w:fill="FFFFFF" w:color="auto" w:val="clear"/>
            <w:tcMar>
              <w:top w:type="dxa" w:w="80"/>
              <w:left w:type="dxa" w:w="100"/>
              <w:bottom w:type="dxa" w:w="80"/>
              <w:right w:type="dxa" w:w="100"/>
            </w:tcMar>
          </w:tcPr>
          <w:p>
            <w:r>
              <w:rPr>
                <w:b/>
                <w:bCs/>
                <w:color w:val="000000"/>
              </w:rPr>
              <w:t xml:space="preserve">Functions/procedures manually rewritten</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Triggers converted</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bl>
    <w:p>
      <w:pPr>
        <w:spacing w:after="60" w:before="160"/>
      </w:pPr>
      <w:r>
        <w:rPr>
          <w:b/>
          <w:bCs/>
          <w:color w:val="C55A11"/>
          <w:sz w:val="20"/>
          <w:szCs w:val="20"/>
        </w:rPr>
        <w:t xml:space="preserve">Screenshot Ideas</w:t>
      </w:r>
    </w:p>
    <w:p>
      <w:pPr>
        <w:pStyle w:val="ListParagraph"/>
        <w:numPr>
          <w:ilvl w:val="0"/>
          <w:numId w:val="2"/>
        </w:numPr>
        <w:spacing w:after="60"/>
      </w:pPr>
      <w:r>
        <w:t xml:space="preserve">SSMA schema conversion report</w:t>
      </w:r>
    </w:p>
    <w:p>
      <w:pPr>
        <w:pStyle w:val="ListParagraph"/>
        <w:numPr>
          <w:ilvl w:val="0"/>
          <w:numId w:val="2"/>
        </w:numPr>
        <w:spacing w:after="60"/>
      </w:pPr>
      <w:r>
        <w:t xml:space="preserve">Side-by-side PostgreSQL DDL vs. T-SQL DDL</w:t>
      </w:r>
    </w:p>
    <w:p>
      <w:pPr>
        <w:pStyle w:val="ListParagraph"/>
        <w:numPr>
          <w:ilvl w:val="0"/>
          <w:numId w:val="2"/>
        </w:numPr>
        <w:spacing w:after="60"/>
      </w:pPr>
      <w:r>
        <w:t xml:space="preserve">SSMS Object Explorer showing the newly created schema</w:t>
      </w:r>
    </w:p>
    <w:p>
      <w:pPr>
        <w:spacing w:after="60" w:before="160"/>
      </w:pPr>
      <w:r>
        <w:rPr>
          <w:b/>
          <w:bCs/>
          <w:color w:val="C55A11"/>
          <w:sz w:val="20"/>
          <w:szCs w:val="20"/>
        </w:rPr>
        <w:t xml:space="preserve">Draft Card Blurb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D5BC" w:sz="4"/>
              <w:left w:val="single" w:color="E8D5BC" w:sz="4"/>
              <w:bottom w:val="single" w:color="E8D5BC" w:sz="4"/>
              <w:right w:val="single" w:color="E8D5BC" w:sz="4"/>
            </w:tcBorders>
            <w:shd w:fill="FFF8EF" w:color="auto" w:val="clear"/>
            <w:tcMar>
              <w:top w:type="dxa" w:w="200"/>
              <w:left w:type="dxa" w:w="220"/>
              <w:bottom w:type="dxa" w:w="200"/>
              <w:right w:type="dxa" w:w="220"/>
            </w:tcMar>
          </w:tcPr>
          <w:p>
            <w:r>
              <w:rPr>
                <w:b/>
                <w:bCs/>
                <w:color w:val="C55A11"/>
                <w:sz w:val="18"/>
                <w:szCs w:val="18"/>
              </w:rPr>
              <w:t xml:space="preserve">PHASE 02 — SCHEMA CONVERSION</w:t>
            </w:r>
          </w:p>
          <w:p>
            <w:pPr>
              <w:spacing w:before="60"/>
            </w:pPr>
            <w:r>
              <w:rPr>
                <w:b/>
                <w:bCs/>
                <w:color w:val="1F3864"/>
                <w:sz w:val="24"/>
                <w:szCs w:val="24"/>
              </w:rPr>
              <w:t xml:space="preserve">Schema Conversion</w:t>
            </w:r>
          </w:p>
          <w:p>
            <w:pPr>
              <w:spacing w:before="80"/>
            </w:pPr>
            <w:r>
              <w:rPr>
                <w:color w:val="333333"/>
              </w:rPr>
              <w:t xml:space="preserve">I converted every table, key, constraint, and index to T-SQL, mapped PostgreSQL-specific types to their SQL Server equivalents, and rewrote stored functions and triggers from PL/pgSQL, documenting every mapping decision.</w:t>
            </w:r>
          </w:p>
        </w:tc>
      </w:tr>
    </w:tbl>
    <w:p>
      <w:r>
        <w:br w:type="page"/>
      </w:r>
    </w:p>
    <w:p>
      <w:pPr>
        <w:spacing w:after="20" w:before="400"/>
      </w:pPr>
      <w:r>
        <w:rPr>
          <w:b/>
          <w:bCs/>
          <w:color w:val="C55A11"/>
          <w:sz w:val="20"/>
          <w:szCs w:val="20"/>
        </w:rPr>
        <w:t xml:space="preserve">PHASE 3 — DATA MIGRATION</w:t>
      </w:r>
    </w:p>
    <w:p>
      <w:pPr>
        <w:pBdr>
          <w:bottom w:val="single" w:color="1F3864" w:sz="6" w:space="4"/>
        </w:pBdr>
        <w:spacing w:after="160"/>
      </w:pPr>
      <w:r>
        <w:rPr>
          <w:b/>
          <w:bCs/>
          <w:color w:val="1F3864"/>
          <w:sz w:val="32"/>
          <w:szCs w:val="32"/>
        </w:rPr>
        <w:t xml:space="preserve">Data Migration (ETL)</w:t>
      </w:r>
    </w:p>
    <w:p>
      <w:pPr>
        <w:spacing w:after="60" w:before="160"/>
      </w:pPr>
      <w:r>
        <w:rPr>
          <w:b/>
          <w:bCs/>
          <w:color w:val="C55A11"/>
          <w:sz w:val="20"/>
          <w:szCs w:val="20"/>
        </w:rPr>
        <w:t xml:space="preserve">Goal</w:t>
      </w:r>
    </w:p>
    <w:p>
      <w:pPr>
        <w:spacing w:after="120"/>
      </w:pPr>
      <w:r>
        <w:t xml:space="preserve">Move every row from PostgreSQL into SQL Server accurately, in the correct order, with full logging of what happened.</w:t>
      </w:r>
    </w:p>
    <w:p>
      <w:pPr>
        <w:spacing w:after="60" w:before="160"/>
      </w:pPr>
      <w:r>
        <w:rPr>
          <w:b/>
          <w:bCs/>
          <w:color w:val="C55A11"/>
          <w:sz w:val="20"/>
          <w:szCs w:val="20"/>
        </w:rPr>
        <w:t xml:space="preserve">Key Technical Steps</w:t>
      </w:r>
    </w:p>
    <w:p>
      <w:pPr>
        <w:pStyle w:val="ListParagraph"/>
        <w:numPr>
          <w:ilvl w:val="0"/>
          <w:numId w:val="2"/>
        </w:numPr>
        <w:spacing w:after="60"/>
      </w:pPr>
      <w:r>
        <w:t xml:space="preserve">Use the SSMA data-migration wizard, or build a custom ETL pipeline (Python + psycopg2/pyodbc, or SSIS) for finer-grained control and logging</w:t>
      </w:r>
    </w:p>
    <w:p>
      <w:pPr>
        <w:pStyle w:val="ListParagraph"/>
        <w:numPr>
          <w:ilvl w:val="0"/>
          <w:numId w:val="2"/>
        </w:numPr>
        <w:spacing w:after="60"/>
      </w:pPr>
      <w:r>
        <w:t xml:space="preserve">Load parent tables before child tables (or disable/re-enable FK constraints) to respect referential integrity during bulk load</w:t>
      </w:r>
    </w:p>
    <w:p>
      <w:pPr>
        <w:pStyle w:val="ListParagraph"/>
        <w:numPr>
          <w:ilvl w:val="0"/>
          <w:numId w:val="2"/>
        </w:numPr>
        <w:spacing w:after="60"/>
      </w:pPr>
      <w:r>
        <w:t xml:space="preserve">Re-seed IDENTITY/sequence current values so new inserts continue from the correct point</w:t>
      </w:r>
    </w:p>
    <w:p>
      <w:pPr>
        <w:pStyle w:val="ListParagraph"/>
        <w:numPr>
          <w:ilvl w:val="0"/>
          <w:numId w:val="2"/>
        </w:numPr>
        <w:spacing w:after="60"/>
      </w:pPr>
      <w:r>
        <w:t xml:space="preserve">Map PostgreSQL roles/permissions to equivalent SQL Server logins and roles</w:t>
      </w:r>
    </w:p>
    <w:p>
      <w:pPr>
        <w:pStyle w:val="ListParagraph"/>
        <w:numPr>
          <w:ilvl w:val="0"/>
          <w:numId w:val="2"/>
        </w:numPr>
        <w:spacing w:after="60"/>
      </w:pPr>
      <w:r>
        <w:t xml:space="preserve">Log the migration run: start/end time, rows loaded per table, and any errors or retries</w:t>
      </w:r>
    </w:p>
    <w:p>
      <w:pPr>
        <w:spacing w:after="60" w:before="160"/>
      </w:pPr>
      <w:r>
        <w:rPr>
          <w:b/>
          <w:bCs/>
          <w:color w:val="C55A11"/>
          <w:sz w:val="20"/>
          <w:szCs w:val="20"/>
        </w:rPr>
        <w:t xml:space="preserve">Deliverable</w:t>
      </w:r>
    </w:p>
    <w:p>
      <w:pPr>
        <w:spacing w:after="120"/>
      </w:pPr>
      <w:r>
        <w:t xml:space="preserve">ETL scripts/pipeline plus a migration run log with per-table row counts and timing.</w:t>
      </w:r>
    </w:p>
    <w:p>
      <w:pPr>
        <w:spacing w:after="60" w:before="160"/>
      </w:pPr>
      <w:r>
        <w:rPr>
          <w:b/>
          <w:bCs/>
          <w:color w:val="C55A11"/>
          <w:sz w:val="20"/>
          <w:szCs w:val="20"/>
        </w:rPr>
        <w:t xml:space="preserve">Metrics to Capture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color="auto" w:val="clear"/>
            <w:tcMar>
              <w:top w:type="dxa" w:w="80"/>
              <w:left w:type="dxa" w:w="100"/>
              <w:bottom w:type="dxa" w:w="80"/>
              <w:right w:type="dxa" w:w="100"/>
            </w:tcMar>
          </w:tcPr>
          <w:p>
            <w:r>
              <w:rPr>
                <w:b/>
                <w:bCs/>
                <w:color w:val="FFFFFF"/>
              </w:rPr>
              <w:t xml:space="preserve">Metric</w:t>
            </w:r>
          </w:p>
        </w:tc>
        <w:tc>
          <w:tcPr>
            <w:tcW w:type="dxa" w:w="4675"/>
            <w:shd w:fill="1F3864" w:color="auto" w:val="clear"/>
            <w:tcMar>
              <w:top w:type="dxa" w:w="80"/>
              <w:left w:type="dxa" w:w="100"/>
              <w:bottom w:type="dxa" w:w="80"/>
              <w:right w:type="dxa" w:w="100"/>
            </w:tcMar>
          </w:tcPr>
          <w:p>
            <w:r>
              <w:rPr>
                <w:b w:val="false"/>
                <w:bCs w:val="false"/>
                <w:color w:val="FFFFFF"/>
              </w:rPr>
              <w:t xml:space="preserve">Placeholder</w:t>
            </w:r>
          </w:p>
        </w:tc>
      </w:tr>
      <w:tr>
        <w:tc>
          <w:tcPr>
            <w:tcW w:type="dxa" w:w="4675"/>
            <w:shd w:fill="FFFFFF" w:color="auto" w:val="clear"/>
            <w:tcMar>
              <w:top w:type="dxa" w:w="80"/>
              <w:left w:type="dxa" w:w="100"/>
              <w:bottom w:type="dxa" w:w="80"/>
              <w:right w:type="dxa" w:w="100"/>
            </w:tcMar>
          </w:tcPr>
          <w:p>
            <w:r>
              <w:rPr>
                <w:b/>
                <w:bCs/>
                <w:color w:val="000000"/>
              </w:rPr>
              <w:t xml:space="preserve">Total rows migrated</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Migration duration</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r>
        <w:tc>
          <w:tcPr>
            <w:tcW w:type="dxa" w:w="4675"/>
            <w:shd w:fill="FFFFFF" w:color="auto" w:val="clear"/>
            <w:tcMar>
              <w:top w:type="dxa" w:w="80"/>
              <w:left w:type="dxa" w:w="100"/>
              <w:bottom w:type="dxa" w:w="80"/>
              <w:right w:type="dxa" w:w="100"/>
            </w:tcMar>
          </w:tcPr>
          <w:p>
            <w:r>
              <w:rPr>
                <w:b/>
                <w:bCs/>
                <w:color w:val="000000"/>
              </w:rPr>
              <w:t xml:space="preserve">Throughput (rows/sec)</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Errors encountered / resolved</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bl>
    <w:p>
      <w:pPr>
        <w:spacing w:after="60" w:before="160"/>
      </w:pPr>
      <w:r>
        <w:rPr>
          <w:b/>
          <w:bCs/>
          <w:color w:val="C55A11"/>
          <w:sz w:val="20"/>
          <w:szCs w:val="20"/>
        </w:rPr>
        <w:t xml:space="preserve">Screenshot Ideas</w:t>
      </w:r>
    </w:p>
    <w:p>
      <w:pPr>
        <w:pStyle w:val="ListParagraph"/>
        <w:numPr>
          <w:ilvl w:val="0"/>
          <w:numId w:val="2"/>
        </w:numPr>
        <w:spacing w:after="60"/>
      </w:pPr>
      <w:r>
        <w:t xml:space="preserve">ETL script running in terminal with progress output</w:t>
      </w:r>
    </w:p>
    <w:p>
      <w:pPr>
        <w:pStyle w:val="ListParagraph"/>
        <w:numPr>
          <w:ilvl w:val="0"/>
          <w:numId w:val="2"/>
        </w:numPr>
        <w:spacing w:after="60"/>
      </w:pPr>
      <w:r>
        <w:t xml:space="preserve">Before/after row-count comparison table</w:t>
      </w:r>
    </w:p>
    <w:p>
      <w:pPr>
        <w:spacing w:after="60" w:before="160"/>
      </w:pPr>
      <w:r>
        <w:rPr>
          <w:b/>
          <w:bCs/>
          <w:color w:val="C55A11"/>
          <w:sz w:val="20"/>
          <w:szCs w:val="20"/>
        </w:rPr>
        <w:t xml:space="preserve">Draft Card Blurb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D5BC" w:sz="4"/>
              <w:left w:val="single" w:color="E8D5BC" w:sz="4"/>
              <w:bottom w:val="single" w:color="E8D5BC" w:sz="4"/>
              <w:right w:val="single" w:color="E8D5BC" w:sz="4"/>
            </w:tcBorders>
            <w:shd w:fill="FFF8EF" w:color="auto" w:val="clear"/>
            <w:tcMar>
              <w:top w:type="dxa" w:w="200"/>
              <w:left w:type="dxa" w:w="220"/>
              <w:bottom w:type="dxa" w:w="200"/>
              <w:right w:type="dxa" w:w="220"/>
            </w:tcMar>
          </w:tcPr>
          <w:p>
            <w:r>
              <w:rPr>
                <w:b/>
                <w:bCs/>
                <w:color w:val="C55A11"/>
                <w:sz w:val="18"/>
                <w:szCs w:val="18"/>
              </w:rPr>
              <w:t xml:space="preserve">PHASE 03 — DATA MIGRATION</w:t>
            </w:r>
          </w:p>
          <w:p>
            <w:pPr>
              <w:spacing w:before="60"/>
            </w:pPr>
            <w:r>
              <w:rPr>
                <w:b/>
                <w:bCs/>
                <w:color w:val="1F3864"/>
                <w:sz w:val="24"/>
                <w:szCs w:val="24"/>
              </w:rPr>
              <w:t xml:space="preserve">Data Migration (ETL)</w:t>
            </w:r>
          </w:p>
          <w:p>
            <w:pPr>
              <w:spacing w:before="80"/>
            </w:pPr>
            <w:r>
              <w:rPr>
                <w:color w:val="333333"/>
              </w:rPr>
              <w:t xml:space="preserve">I built an ETL pipeline that loaded every row from PostgreSQL into SQL Server in correct referential order, re-seeded identity values, and logged row counts and timing for a fully auditable migration run.</w:t>
            </w:r>
          </w:p>
        </w:tc>
      </w:tr>
    </w:tbl>
    <w:p>
      <w:r>
        <w:br w:type="page"/>
      </w:r>
    </w:p>
    <w:p>
      <w:pPr>
        <w:spacing w:after="20" w:before="400"/>
      </w:pPr>
      <w:r>
        <w:rPr>
          <w:b/>
          <w:bCs/>
          <w:color w:val="C55A11"/>
          <w:sz w:val="20"/>
          <w:szCs w:val="20"/>
        </w:rPr>
        <w:t xml:space="preserve">PHASE 4 — VALIDATION</w:t>
      </w:r>
    </w:p>
    <w:p>
      <w:pPr>
        <w:pBdr>
          <w:bottom w:val="single" w:color="1F3864" w:sz="6" w:space="4"/>
        </w:pBdr>
        <w:spacing w:after="160"/>
      </w:pPr>
      <w:r>
        <w:rPr>
          <w:b/>
          <w:bCs/>
          <w:color w:val="1F3864"/>
          <w:sz w:val="32"/>
          <w:szCs w:val="32"/>
        </w:rPr>
        <w:t xml:space="preserve">Validation &amp; Integrity Testing</w:t>
      </w:r>
    </w:p>
    <w:p>
      <w:pPr>
        <w:spacing w:after="60" w:before="160"/>
      </w:pPr>
      <w:r>
        <w:rPr>
          <w:b/>
          <w:bCs/>
          <w:color w:val="C55A11"/>
          <w:sz w:val="20"/>
          <w:szCs w:val="20"/>
        </w:rPr>
        <w:t xml:space="preserve">Goal</w:t>
      </w:r>
    </w:p>
    <w:p>
      <w:pPr>
        <w:spacing w:after="120"/>
      </w:pPr>
      <w:r>
        <w:t xml:space="preserve">Prove — not assume — that the migrated database is a faithful, trustworthy copy of the source.</w:t>
      </w:r>
    </w:p>
    <w:p>
      <w:pPr>
        <w:spacing w:after="60" w:before="160"/>
      </w:pPr>
      <w:r>
        <w:rPr>
          <w:b/>
          <w:bCs/>
          <w:color w:val="C55A11"/>
          <w:sz w:val="20"/>
          <w:szCs w:val="20"/>
        </w:rPr>
        <w:t xml:space="preserve">Key Technical Steps</w:t>
      </w:r>
    </w:p>
    <w:p>
      <w:pPr>
        <w:pStyle w:val="ListParagraph"/>
        <w:numPr>
          <w:ilvl w:val="0"/>
          <w:numId w:val="2"/>
        </w:numPr>
        <w:spacing w:after="60"/>
      </w:pPr>
      <w:r>
        <w:t xml:space="preserve">Compare row counts per table between PostgreSQL and SQL Server</w:t>
      </w:r>
    </w:p>
    <w:p>
      <w:pPr>
        <w:pStyle w:val="ListParagraph"/>
        <w:numPr>
          <w:ilvl w:val="0"/>
          <w:numId w:val="2"/>
        </w:numPr>
        <w:spacing w:after="60"/>
      </w:pPr>
      <w:r>
        <w:t xml:space="preserve">Run checksum/hash comparisons on sampled or full data (CHECKSUM_AGG in SQL Server vs. an MD5-based aggregate in PostgreSQL)</w:t>
      </w:r>
    </w:p>
    <w:p>
      <w:pPr>
        <w:pStyle w:val="ListParagraph"/>
        <w:numPr>
          <w:ilvl w:val="0"/>
          <w:numId w:val="2"/>
        </w:numPr>
        <w:spacing w:after="60"/>
      </w:pPr>
      <w:r>
        <w:t xml:space="preserve">Verify constraint and FK enforcement by attempting invalid inserts and confirming rejection</w:t>
      </w:r>
    </w:p>
    <w:p>
      <w:pPr>
        <w:pStyle w:val="ListParagraph"/>
        <w:numPr>
          <w:ilvl w:val="0"/>
          <w:numId w:val="2"/>
        </w:numPr>
        <w:spacing w:after="60"/>
      </w:pPr>
      <w:r>
        <w:t xml:space="preserve">Re-run a set of representative application queries on both systems and diff the results</w:t>
      </w:r>
    </w:p>
    <w:p>
      <w:pPr>
        <w:pStyle w:val="ListParagraph"/>
        <w:numPr>
          <w:ilvl w:val="0"/>
          <w:numId w:val="2"/>
        </w:numPr>
        <w:spacing w:after="60"/>
      </w:pPr>
      <w:r>
        <w:t xml:space="preserve">Spot-check NULL handling, default values, and date/time-zone conversions specifically</w:t>
      </w:r>
    </w:p>
    <w:p>
      <w:pPr>
        <w:spacing w:after="60" w:before="160"/>
      </w:pPr>
      <w:r>
        <w:rPr>
          <w:b/>
          <w:bCs/>
          <w:color w:val="C55A11"/>
          <w:sz w:val="20"/>
          <w:szCs w:val="20"/>
        </w:rPr>
        <w:t xml:space="preserve">Deliverable</w:t>
      </w:r>
    </w:p>
    <w:p>
      <w:pPr>
        <w:spacing w:after="120"/>
      </w:pPr>
      <w:r>
        <w:t xml:space="preserve">Validation report documenting pass/fail status per table and per check.</w:t>
      </w:r>
    </w:p>
    <w:p>
      <w:pPr>
        <w:spacing w:after="60" w:before="160"/>
      </w:pPr>
      <w:r>
        <w:rPr>
          <w:b/>
          <w:bCs/>
          <w:color w:val="C55A11"/>
          <w:sz w:val="20"/>
          <w:szCs w:val="20"/>
        </w:rPr>
        <w:t xml:space="preserve">Metrics to Capture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color="auto" w:val="clear"/>
            <w:tcMar>
              <w:top w:type="dxa" w:w="80"/>
              <w:left w:type="dxa" w:w="100"/>
              <w:bottom w:type="dxa" w:w="80"/>
              <w:right w:type="dxa" w:w="100"/>
            </w:tcMar>
          </w:tcPr>
          <w:p>
            <w:r>
              <w:rPr>
                <w:b/>
                <w:bCs/>
                <w:color w:val="FFFFFF"/>
              </w:rPr>
              <w:t xml:space="preserve">Metric</w:t>
            </w:r>
          </w:p>
        </w:tc>
        <w:tc>
          <w:tcPr>
            <w:tcW w:type="dxa" w:w="4675"/>
            <w:shd w:fill="1F3864" w:color="auto" w:val="clear"/>
            <w:tcMar>
              <w:top w:type="dxa" w:w="80"/>
              <w:left w:type="dxa" w:w="100"/>
              <w:bottom w:type="dxa" w:w="80"/>
              <w:right w:type="dxa" w:w="100"/>
            </w:tcMar>
          </w:tcPr>
          <w:p>
            <w:r>
              <w:rPr>
                <w:b w:val="false"/>
                <w:bCs w:val="false"/>
                <w:color w:val="FFFFFF"/>
              </w:rPr>
              <w:t xml:space="preserve">Placeholder</w:t>
            </w:r>
          </w:p>
        </w:tc>
      </w:tr>
      <w:tr>
        <w:tc>
          <w:tcPr>
            <w:tcW w:type="dxa" w:w="4675"/>
            <w:shd w:fill="FFFFFF" w:color="auto" w:val="clear"/>
            <w:tcMar>
              <w:top w:type="dxa" w:w="80"/>
              <w:left w:type="dxa" w:w="100"/>
              <w:bottom w:type="dxa" w:w="80"/>
              <w:right w:type="dxa" w:w="100"/>
            </w:tcMar>
          </w:tcPr>
          <w:p>
            <w:r>
              <w:rPr>
                <w:b/>
                <w:bCs/>
                <w:color w:val="000000"/>
              </w:rPr>
              <w:t xml:space="preserve">Tables with exact row-count match</w:t>
            </w:r>
          </w:p>
        </w:tc>
        <w:tc>
          <w:tcPr>
            <w:tcW w:type="dxa" w:w="4675"/>
            <w:shd w:fill="FFFFFF" w:color="auto" w:val="clear"/>
            <w:tcMar>
              <w:top w:type="dxa" w:w="80"/>
              <w:left w:type="dxa" w:w="100"/>
              <w:bottom w:type="dxa" w:w="80"/>
              <w:right w:type="dxa" w:w="100"/>
            </w:tcMar>
          </w:tcPr>
          <w:p>
            <w:r>
              <w:rPr>
                <w:b w:val="false"/>
                <w:bCs w:val="false"/>
                <w:color w:val="000000"/>
              </w:rPr>
              <w:t xml:space="preserve">[ ] / [ ] (%)</w:t>
            </w:r>
          </w:p>
        </w:tc>
      </w:tr>
      <w:tr>
        <w:tc>
          <w:tcPr>
            <w:tcW w:type="dxa" w:w="4675"/>
            <w:shd w:fill="FBEBDD" w:color="auto" w:val="clear"/>
            <w:tcMar>
              <w:top w:type="dxa" w:w="80"/>
              <w:left w:type="dxa" w:w="100"/>
              <w:bottom w:type="dxa" w:w="80"/>
              <w:right w:type="dxa" w:w="100"/>
            </w:tcMar>
          </w:tcPr>
          <w:p>
            <w:r>
              <w:rPr>
                <w:b/>
                <w:bCs/>
                <w:color w:val="000000"/>
              </w:rPr>
              <w:t xml:space="preserve">Discrepancies found &amp; resolved</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r>
        <w:tc>
          <w:tcPr>
            <w:tcW w:type="dxa" w:w="4675"/>
            <w:shd w:fill="FFFFFF" w:color="auto" w:val="clear"/>
            <w:tcMar>
              <w:top w:type="dxa" w:w="80"/>
              <w:left w:type="dxa" w:w="100"/>
              <w:bottom w:type="dxa" w:w="80"/>
              <w:right w:type="dxa" w:w="100"/>
            </w:tcMar>
          </w:tcPr>
          <w:p>
            <w:r>
              <w:rPr>
                <w:b/>
                <w:bCs/>
                <w:color w:val="000000"/>
              </w:rPr>
              <w:t xml:space="preserve">Queries validated</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bl>
    <w:p>
      <w:pPr>
        <w:spacing w:after="60" w:before="160"/>
      </w:pPr>
      <w:r>
        <w:rPr>
          <w:b/>
          <w:bCs/>
          <w:color w:val="C55A11"/>
          <w:sz w:val="20"/>
          <w:szCs w:val="20"/>
        </w:rPr>
        <w:t xml:space="preserve">Screenshot Ideas</w:t>
      </w:r>
    </w:p>
    <w:p>
      <w:pPr>
        <w:pStyle w:val="ListParagraph"/>
        <w:numPr>
          <w:ilvl w:val="0"/>
          <w:numId w:val="2"/>
        </w:numPr>
        <w:spacing w:after="60"/>
      </w:pPr>
      <w:r>
        <w:t xml:space="preserve">Validation query outputs side-by-side</w:t>
      </w:r>
    </w:p>
    <w:p>
      <w:pPr>
        <w:pStyle w:val="ListParagraph"/>
        <w:numPr>
          <w:ilvl w:val="0"/>
          <w:numId w:val="2"/>
        </w:numPr>
        <w:spacing w:after="60"/>
      </w:pPr>
      <w:r>
        <w:t xml:space="preserve">Pass/fail summary table</w:t>
      </w:r>
    </w:p>
    <w:p>
      <w:pPr>
        <w:spacing w:after="60" w:before="160"/>
      </w:pPr>
      <w:r>
        <w:rPr>
          <w:b/>
          <w:bCs/>
          <w:color w:val="C55A11"/>
          <w:sz w:val="20"/>
          <w:szCs w:val="20"/>
        </w:rPr>
        <w:t xml:space="preserve">Draft Card Blurb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D5BC" w:sz="4"/>
              <w:left w:val="single" w:color="E8D5BC" w:sz="4"/>
              <w:bottom w:val="single" w:color="E8D5BC" w:sz="4"/>
              <w:right w:val="single" w:color="E8D5BC" w:sz="4"/>
            </w:tcBorders>
            <w:shd w:fill="FFF8EF" w:color="auto" w:val="clear"/>
            <w:tcMar>
              <w:top w:type="dxa" w:w="200"/>
              <w:left w:type="dxa" w:w="220"/>
              <w:bottom w:type="dxa" w:w="200"/>
              <w:right w:type="dxa" w:w="220"/>
            </w:tcMar>
          </w:tcPr>
          <w:p>
            <w:r>
              <w:rPr>
                <w:b/>
                <w:bCs/>
                <w:color w:val="C55A11"/>
                <w:sz w:val="18"/>
                <w:szCs w:val="18"/>
              </w:rPr>
              <w:t xml:space="preserve">PHASE 04 — VALIDATION</w:t>
            </w:r>
          </w:p>
          <w:p>
            <w:pPr>
              <w:spacing w:before="60"/>
            </w:pPr>
            <w:r>
              <w:rPr>
                <w:b/>
                <w:bCs/>
                <w:color w:val="1F3864"/>
                <w:sz w:val="24"/>
                <w:szCs w:val="24"/>
              </w:rPr>
              <w:t xml:space="preserve">Validation &amp; Integrity Testing</w:t>
            </w:r>
          </w:p>
          <w:p>
            <w:pPr>
              <w:spacing w:before="80"/>
            </w:pPr>
            <w:r>
              <w:rPr>
                <w:color w:val="333333"/>
              </w:rPr>
              <w:t xml:space="preserve">I verified the migration with row-count and checksum comparisons across every table, tested constraint enforcement directly, and diffed representative query results between both systems before calling the migration complete.</w:t>
            </w:r>
          </w:p>
        </w:tc>
      </w:tr>
    </w:tbl>
    <w:p>
      <w:r>
        <w:br w:type="page"/>
      </w:r>
    </w:p>
    <w:p>
      <w:pPr>
        <w:spacing w:after="20" w:before="400"/>
      </w:pPr>
      <w:r>
        <w:rPr>
          <w:b/>
          <w:bCs/>
          <w:color w:val="C55A11"/>
          <w:sz w:val="20"/>
          <w:szCs w:val="20"/>
        </w:rPr>
        <w:t xml:space="preserve">PHASE 5 — PERFORMANCE</w:t>
      </w:r>
    </w:p>
    <w:p>
      <w:pPr>
        <w:pBdr>
          <w:bottom w:val="single" w:color="1F3864" w:sz="6" w:space="4"/>
        </w:pBdr>
        <w:spacing w:after="160"/>
      </w:pPr>
      <w:r>
        <w:rPr>
          <w:b/>
          <w:bCs/>
          <w:color w:val="1F3864"/>
          <w:sz w:val="32"/>
          <w:szCs w:val="32"/>
        </w:rPr>
        <w:t xml:space="preserve">Performance Baseline &amp; Tuning</w:t>
      </w:r>
    </w:p>
    <w:p>
      <w:pPr>
        <w:spacing w:after="60" w:before="160"/>
      </w:pPr>
      <w:r>
        <w:rPr>
          <w:b/>
          <w:bCs/>
          <w:color w:val="C55A11"/>
          <w:sz w:val="20"/>
          <w:szCs w:val="20"/>
        </w:rPr>
        <w:t xml:space="preserve">Goal</w:t>
      </w:r>
    </w:p>
    <w:p>
      <w:pPr>
        <w:spacing w:after="120"/>
      </w:pPr>
      <w:r>
        <w:t xml:space="preserve">Confirm SQL Server performs at least as well as PostgreSQL on representative workloads, and demonstrate the ability to diagnose and fix regressions when it doesn't.</w:t>
      </w:r>
    </w:p>
    <w:p>
      <w:pPr>
        <w:spacing w:after="60" w:before="160"/>
      </w:pPr>
      <w:r>
        <w:rPr>
          <w:b/>
          <w:bCs/>
          <w:color w:val="C55A11"/>
          <w:sz w:val="20"/>
          <w:szCs w:val="20"/>
        </w:rPr>
        <w:t xml:space="preserve">Key Technical Steps</w:t>
      </w:r>
    </w:p>
    <w:p>
      <w:pPr>
        <w:pStyle w:val="ListParagraph"/>
        <w:numPr>
          <w:ilvl w:val="0"/>
          <w:numId w:val="2"/>
        </w:numPr>
        <w:spacing w:after="60"/>
      </w:pPr>
      <w:r>
        <w:t xml:space="preserve">Select 5–6 representative queries covering typical read/write/aggregate patterns</w:t>
      </w:r>
    </w:p>
    <w:p>
      <w:pPr>
        <w:pStyle w:val="ListParagraph"/>
        <w:numPr>
          <w:ilvl w:val="0"/>
          <w:numId w:val="2"/>
        </w:numPr>
        <w:spacing w:after="60"/>
      </w:pPr>
      <w:r>
        <w:t xml:space="preserve">Baseline execution time for each query on PostgreSQL before cutover</w:t>
      </w:r>
    </w:p>
    <w:p>
      <w:pPr>
        <w:pStyle w:val="ListParagraph"/>
        <w:numPr>
          <w:ilvl w:val="0"/>
          <w:numId w:val="2"/>
        </w:numPr>
        <w:spacing w:after="60"/>
      </w:pPr>
      <w:r>
        <w:t xml:space="preserve">Run the translated queries on SQL Server and capture execution plans</w:t>
      </w:r>
    </w:p>
    <w:p>
      <w:pPr>
        <w:pStyle w:val="ListParagraph"/>
        <w:numPr>
          <w:ilvl w:val="0"/>
          <w:numId w:val="2"/>
        </w:numPr>
        <w:spacing w:after="60"/>
      </w:pPr>
      <w:r>
        <w:t xml:space="preserve">Diagnose regressions: missing indexes, stale statistics, parameter sniffing, or plan-choice differences</w:t>
      </w:r>
    </w:p>
    <w:p>
      <w:pPr>
        <w:pStyle w:val="ListParagraph"/>
        <w:numPr>
          <w:ilvl w:val="0"/>
          <w:numId w:val="2"/>
        </w:numPr>
        <w:spacing w:after="60"/>
      </w:pPr>
      <w:r>
        <w:t xml:space="preserve">Apply fixes (indexes, updated statistics, query rewrites) and re-measure</w:t>
      </w:r>
    </w:p>
    <w:p>
      <w:pPr>
        <w:spacing w:after="60" w:before="160"/>
      </w:pPr>
      <w:r>
        <w:rPr>
          <w:b/>
          <w:bCs/>
          <w:color w:val="C55A11"/>
          <w:sz w:val="20"/>
          <w:szCs w:val="20"/>
        </w:rPr>
        <w:t xml:space="preserve">Deliverable</w:t>
      </w:r>
    </w:p>
    <w:p>
      <w:pPr>
        <w:spacing w:after="120"/>
      </w:pPr>
      <w:r>
        <w:t xml:space="preserve">Performance comparison report: PostgreSQL baseline vs. SQL Server before/after tuning.</w:t>
      </w:r>
    </w:p>
    <w:p>
      <w:pPr>
        <w:spacing w:after="60" w:before="160"/>
      </w:pPr>
      <w:r>
        <w:rPr>
          <w:b/>
          <w:bCs/>
          <w:color w:val="C55A11"/>
          <w:sz w:val="20"/>
          <w:szCs w:val="20"/>
        </w:rPr>
        <w:t xml:space="preserve">Metrics to Capture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color="auto" w:val="clear"/>
            <w:tcMar>
              <w:top w:type="dxa" w:w="80"/>
              <w:left w:type="dxa" w:w="100"/>
              <w:bottom w:type="dxa" w:w="80"/>
              <w:right w:type="dxa" w:w="100"/>
            </w:tcMar>
          </w:tcPr>
          <w:p>
            <w:r>
              <w:rPr>
                <w:b/>
                <w:bCs/>
                <w:color w:val="FFFFFF"/>
              </w:rPr>
              <w:t xml:space="preserve">Metric</w:t>
            </w:r>
          </w:p>
        </w:tc>
        <w:tc>
          <w:tcPr>
            <w:tcW w:type="dxa" w:w="4675"/>
            <w:shd w:fill="1F3864" w:color="auto" w:val="clear"/>
            <w:tcMar>
              <w:top w:type="dxa" w:w="80"/>
              <w:left w:type="dxa" w:w="100"/>
              <w:bottom w:type="dxa" w:w="80"/>
              <w:right w:type="dxa" w:w="100"/>
            </w:tcMar>
          </w:tcPr>
          <w:p>
            <w:r>
              <w:rPr>
                <w:b w:val="false"/>
                <w:bCs w:val="false"/>
                <w:color w:val="FFFFFF"/>
              </w:rPr>
              <w:t xml:space="preserve">Placeholder</w:t>
            </w:r>
          </w:p>
        </w:tc>
      </w:tr>
      <w:tr>
        <w:tc>
          <w:tcPr>
            <w:tcW w:type="dxa" w:w="4675"/>
            <w:shd w:fill="FFFFFF" w:color="auto" w:val="clear"/>
            <w:tcMar>
              <w:top w:type="dxa" w:w="80"/>
              <w:left w:type="dxa" w:w="100"/>
              <w:bottom w:type="dxa" w:w="80"/>
              <w:right w:type="dxa" w:w="100"/>
            </w:tcMar>
          </w:tcPr>
          <w:p>
            <w:r>
              <w:rPr>
                <w:b/>
                <w:bCs/>
                <w:color w:val="000000"/>
              </w:rPr>
              <w:t xml:space="preserve">Query times before tuning (per query)</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Query times after tuning (per query)</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r>
        <w:tc>
          <w:tcPr>
            <w:tcW w:type="dxa" w:w="4675"/>
            <w:shd w:fill="FFFFFF" w:color="auto" w:val="clear"/>
            <w:tcMar>
              <w:top w:type="dxa" w:w="80"/>
              <w:left w:type="dxa" w:w="100"/>
              <w:bottom w:type="dxa" w:w="80"/>
              <w:right w:type="dxa" w:w="100"/>
            </w:tcMar>
          </w:tcPr>
          <w:p>
            <w:r>
              <w:rPr>
                <w:b/>
                <w:bCs/>
                <w:color w:val="000000"/>
              </w:rPr>
              <w:t xml:space="preserve">% improvement</w:t>
            </w:r>
          </w:p>
        </w:tc>
        <w:tc>
          <w:tcPr>
            <w:tcW w:type="dxa" w:w="4675"/>
            <w:shd w:fill="FFFFFF" w:color="auto" w:val="clear"/>
            <w:tcMar>
              <w:top w:type="dxa" w:w="80"/>
              <w:left w:type="dxa" w:w="100"/>
              <w:bottom w:type="dxa" w:w="80"/>
              <w:right w:type="dxa" w:w="100"/>
            </w:tcMar>
          </w:tcPr>
          <w:p>
            <w:r>
              <w:rPr>
                <w:b w:val="false"/>
                <w:bCs w:val="false"/>
                <w:color w:val="000000"/>
              </w:rPr>
              <w:t xml:space="preserve">[ ]</w:t>
            </w:r>
          </w:p>
        </w:tc>
      </w:tr>
      <w:tr>
        <w:tc>
          <w:tcPr>
            <w:tcW w:type="dxa" w:w="4675"/>
            <w:shd w:fill="FBEBDD" w:color="auto" w:val="clear"/>
            <w:tcMar>
              <w:top w:type="dxa" w:w="80"/>
              <w:left w:type="dxa" w:w="100"/>
              <w:bottom w:type="dxa" w:w="80"/>
              <w:right w:type="dxa" w:w="100"/>
            </w:tcMar>
          </w:tcPr>
          <w:p>
            <w:r>
              <w:rPr>
                <w:b/>
                <w:bCs/>
                <w:color w:val="000000"/>
              </w:rPr>
              <w:t xml:space="preserve">Indexes added/changed</w:t>
            </w:r>
          </w:p>
        </w:tc>
        <w:tc>
          <w:tcPr>
            <w:tcW w:type="dxa" w:w="4675"/>
            <w:shd w:fill="FBEBDD" w:color="auto" w:val="clear"/>
            <w:tcMar>
              <w:top w:type="dxa" w:w="80"/>
              <w:left w:type="dxa" w:w="100"/>
              <w:bottom w:type="dxa" w:w="80"/>
              <w:right w:type="dxa" w:w="100"/>
            </w:tcMar>
          </w:tcPr>
          <w:p>
            <w:r>
              <w:rPr>
                <w:b w:val="false"/>
                <w:bCs w:val="false"/>
                <w:color w:val="000000"/>
              </w:rPr>
              <w:t xml:space="preserve">[ ]</w:t>
            </w:r>
          </w:p>
        </w:tc>
      </w:tr>
    </w:tbl>
    <w:p>
      <w:pPr>
        <w:spacing w:after="60" w:before="160"/>
      </w:pPr>
      <w:r>
        <w:rPr>
          <w:b/>
          <w:bCs/>
          <w:color w:val="C55A11"/>
          <w:sz w:val="20"/>
          <w:szCs w:val="20"/>
        </w:rPr>
        <w:t xml:space="preserve">Screenshot Ideas</w:t>
      </w:r>
    </w:p>
    <w:p>
      <w:pPr>
        <w:pStyle w:val="ListParagraph"/>
        <w:numPr>
          <w:ilvl w:val="0"/>
          <w:numId w:val="2"/>
        </w:numPr>
        <w:spacing w:after="60"/>
      </w:pPr>
      <w:r>
        <w:t xml:space="preserve">Execution plan before vs. after</w:t>
      </w:r>
    </w:p>
    <w:p>
      <w:pPr>
        <w:pStyle w:val="ListParagraph"/>
        <w:numPr>
          <w:ilvl w:val="0"/>
          <w:numId w:val="2"/>
        </w:numPr>
        <w:spacing w:after="60"/>
      </w:pPr>
      <w:r>
        <w:t xml:space="preserve">Query timing output (e.g., "Q4 dropped from Xs to Yms" style, matching your MySQL project)</w:t>
      </w:r>
    </w:p>
    <w:p>
      <w:pPr>
        <w:spacing w:after="60" w:before="160"/>
      </w:pPr>
      <w:r>
        <w:rPr>
          <w:b/>
          <w:bCs/>
          <w:color w:val="C55A11"/>
          <w:sz w:val="20"/>
          <w:szCs w:val="20"/>
        </w:rPr>
        <w:t xml:space="preserve">Draft Card Blurb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D5BC" w:sz="4"/>
              <w:left w:val="single" w:color="E8D5BC" w:sz="4"/>
              <w:bottom w:val="single" w:color="E8D5BC" w:sz="4"/>
              <w:right w:val="single" w:color="E8D5BC" w:sz="4"/>
            </w:tcBorders>
            <w:shd w:fill="FFF8EF" w:color="auto" w:val="clear"/>
            <w:tcMar>
              <w:top w:type="dxa" w:w="200"/>
              <w:left w:type="dxa" w:w="220"/>
              <w:bottom w:type="dxa" w:w="200"/>
              <w:right w:type="dxa" w:w="220"/>
            </w:tcMar>
          </w:tcPr>
          <w:p>
            <w:r>
              <w:rPr>
                <w:b/>
                <w:bCs/>
                <w:color w:val="C55A11"/>
                <w:sz w:val="18"/>
                <w:szCs w:val="18"/>
              </w:rPr>
              <w:t xml:space="preserve">PHASE 05 — PERFORMANCE</w:t>
            </w:r>
          </w:p>
          <w:p>
            <w:pPr>
              <w:spacing w:before="60"/>
            </w:pPr>
            <w:r>
              <w:rPr>
                <w:b/>
                <w:bCs/>
                <w:color w:val="1F3864"/>
                <w:sz w:val="24"/>
                <w:szCs w:val="24"/>
              </w:rPr>
              <w:t xml:space="preserve">Performance Baseline &amp; Tuning</w:t>
            </w:r>
          </w:p>
          <w:p>
            <w:pPr>
              <w:spacing w:before="80"/>
            </w:pPr>
            <w:r>
              <w:rPr>
                <w:color w:val="333333"/>
              </w:rPr>
              <w:t xml:space="preserve">I baselined a set of representative queries against PostgreSQL, ran them on SQL Server, and used execution-plan analysis to diagnose and fix every regression before re-measuring performance.</w:t>
            </w:r>
          </w:p>
        </w:tc>
      </w:tr>
    </w:tbl>
    <w:p>
      <w:r>
        <w:br w:type="page"/>
      </w:r>
    </w:p>
    <w:p>
      <w:pPr>
        <w:spacing w:after="20" w:before="400"/>
      </w:pPr>
      <w:r>
        <w:rPr>
          <w:b/>
          <w:bCs/>
          <w:color w:val="C55A11"/>
          <w:sz w:val="20"/>
          <w:szCs w:val="20"/>
        </w:rPr>
        <w:t xml:space="preserve">PHASE 6 — DOCUMENTATION</w:t>
      </w:r>
    </w:p>
    <w:p>
      <w:pPr>
        <w:pBdr>
          <w:bottom w:val="single" w:color="1F3864" w:sz="6" w:space="4"/>
        </w:pBdr>
        <w:spacing w:after="160"/>
      </w:pPr>
      <w:r>
        <w:rPr>
          <w:b/>
          <w:bCs/>
          <w:color w:val="1F3864"/>
          <w:sz w:val="32"/>
          <w:szCs w:val="32"/>
        </w:rPr>
        <w:t xml:space="preserve">Documentation &amp; Portfolio Packaging</w:t>
      </w:r>
    </w:p>
    <w:p>
      <w:pPr>
        <w:spacing w:after="60" w:before="160"/>
      </w:pPr>
      <w:r>
        <w:rPr>
          <w:b/>
          <w:bCs/>
          <w:color w:val="C55A11"/>
          <w:sz w:val="20"/>
          <w:szCs w:val="20"/>
        </w:rPr>
        <w:t xml:space="preserve">Goal</w:t>
      </w:r>
    </w:p>
    <w:p>
      <w:pPr>
        <w:spacing w:after="120"/>
      </w:pPr>
      <w:r>
        <w:t xml:space="preserve">Package the completed migration as a clean, standalone portfolio project matching the format of your existing site.</w:t>
      </w:r>
    </w:p>
    <w:p>
      <w:pPr>
        <w:spacing w:after="60" w:before="160"/>
      </w:pPr>
      <w:r>
        <w:rPr>
          <w:b/>
          <w:bCs/>
          <w:color w:val="C55A11"/>
          <w:sz w:val="20"/>
          <w:szCs w:val="20"/>
        </w:rPr>
        <w:t xml:space="preserve">Key Technical Steps</w:t>
      </w:r>
    </w:p>
    <w:p>
      <w:pPr>
        <w:pStyle w:val="ListParagraph"/>
        <w:numPr>
          <w:ilvl w:val="0"/>
          <w:numId w:val="2"/>
        </w:numPr>
        <w:spacing w:after="60"/>
      </w:pPr>
      <w:r>
        <w:t xml:space="preserve">Write overview-page copy: goal, source/target systems, stat tiles</w:t>
      </w:r>
    </w:p>
    <w:p>
      <w:pPr>
        <w:pStyle w:val="ListParagraph"/>
        <w:numPr>
          <w:ilvl w:val="0"/>
          <w:numId w:val="2"/>
        </w:numPr>
        <w:spacing w:after="60"/>
      </w:pPr>
      <w:r>
        <w:t xml:space="preserve">Create a before/after architecture diagram (PostgreSQL source → SQL Server target)</w:t>
      </w:r>
    </w:p>
    <w:p>
      <w:pPr>
        <w:pStyle w:val="ListParagraph"/>
        <w:numPr>
          <w:ilvl w:val="0"/>
          <w:numId w:val="2"/>
        </w:numPr>
        <w:spacing w:after="60"/>
      </w:pPr>
      <w:r>
        <w:t xml:space="preserve">Compile a challenges-and-lessons-learned section from notes captured during phases 1–5</w:t>
      </w:r>
    </w:p>
    <w:p>
      <w:pPr>
        <w:pStyle w:val="ListParagraph"/>
        <w:numPr>
          <w:ilvl w:val="0"/>
          <w:numId w:val="2"/>
        </w:numPr>
        <w:spacing w:after="60"/>
      </w:pPr>
      <w:r>
        <w:t xml:space="preserve">Organize the repo into phase-1 … phase-6 folders with sql/, docs/, screenshots/, data/, backups/</w:t>
      </w:r>
    </w:p>
    <w:p>
      <w:pPr>
        <w:pStyle w:val="ListParagraph"/>
        <w:numPr>
          <w:ilvl w:val="0"/>
          <w:numId w:val="2"/>
        </w:numPr>
        <w:spacing w:after="60"/>
      </w:pPr>
      <w:r>
        <w:t xml:space="preserve">Write the six phase-card summaries and the six individual phase HTML pages, matching your PostgreSQL/MySQL DBA project template</w:t>
      </w:r>
    </w:p>
    <w:p>
      <w:pPr>
        <w:spacing w:after="60" w:before="160"/>
      </w:pPr>
      <w:r>
        <w:rPr>
          <w:b/>
          <w:bCs/>
          <w:color w:val="C55A11"/>
          <w:sz w:val="20"/>
          <w:szCs w:val="20"/>
        </w:rPr>
        <w:t xml:space="preserve">Deliverable</w:t>
      </w:r>
    </w:p>
    <w:p>
      <w:pPr>
        <w:spacing w:after="120"/>
      </w:pPr>
      <w:r>
        <w:t xml:space="preserve">The finished Project 1 portfolio package: one overview page + six phase pages, linked from your Projects grid, plus the GitHub repo.</w:t>
      </w:r>
    </w:p>
    <w:p>
      <w:pPr>
        <w:spacing w:after="60" w:before="160"/>
      </w:pPr>
      <w:r>
        <w:rPr>
          <w:b/>
          <w:bCs/>
          <w:color w:val="C55A11"/>
          <w:sz w:val="20"/>
          <w:szCs w:val="20"/>
        </w:rPr>
        <w:t xml:space="preserve">Metrics to Capture</w:t>
      </w:r>
    </w:p>
    <w:p>
      <w:pPr>
        <w:spacing w:after="120"/>
      </w:pPr>
      <w:r>
        <w:t xml:space="preserve">Final values for every placeholder metric above, rolled up into the overview-page stat tiles.</w:t>
      </w:r>
    </w:p>
    <w:p>
      <w:pPr>
        <w:spacing w:after="60" w:before="160"/>
      </w:pPr>
      <w:r>
        <w:rPr>
          <w:b/>
          <w:bCs/>
          <w:color w:val="C55A11"/>
          <w:sz w:val="20"/>
          <w:szCs w:val="20"/>
        </w:rPr>
        <w:t xml:space="preserve">Screenshot Ideas</w:t>
      </w:r>
    </w:p>
    <w:p>
      <w:pPr>
        <w:pStyle w:val="ListParagraph"/>
        <w:numPr>
          <w:ilvl w:val="0"/>
          <w:numId w:val="2"/>
        </w:numPr>
        <w:spacing w:after="60"/>
      </w:pPr>
      <w:r>
        <w:t xml:space="preserve">Final repo structure</w:t>
      </w:r>
    </w:p>
    <w:p>
      <w:pPr>
        <w:pStyle w:val="ListParagraph"/>
        <w:numPr>
          <w:ilvl w:val="0"/>
          <w:numId w:val="2"/>
        </w:numPr>
        <w:spacing w:after="60"/>
      </w:pPr>
      <w:r>
        <w:t xml:space="preserve">Overview page + phase-card grid mockup once built</w:t>
      </w:r>
    </w:p>
    <w:p>
      <w:pPr>
        <w:spacing w:after="60" w:before="160"/>
      </w:pPr>
      <w:r>
        <w:rPr>
          <w:b/>
          <w:bCs/>
          <w:color w:val="C55A11"/>
          <w:sz w:val="20"/>
          <w:szCs w:val="20"/>
        </w:rPr>
        <w:t xml:space="preserve">Draft Card Blurb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8D5BC" w:sz="4"/>
              <w:left w:val="single" w:color="E8D5BC" w:sz="4"/>
              <w:bottom w:val="single" w:color="E8D5BC" w:sz="4"/>
              <w:right w:val="single" w:color="E8D5BC" w:sz="4"/>
            </w:tcBorders>
            <w:shd w:fill="FFF8EF" w:color="auto" w:val="clear"/>
            <w:tcMar>
              <w:top w:type="dxa" w:w="200"/>
              <w:left w:type="dxa" w:w="220"/>
              <w:bottom w:type="dxa" w:w="200"/>
              <w:right w:type="dxa" w:w="220"/>
            </w:tcMar>
          </w:tcPr>
          <w:p>
            <w:r>
              <w:rPr>
                <w:b/>
                <w:bCs/>
                <w:color w:val="C55A11"/>
                <w:sz w:val="18"/>
                <w:szCs w:val="18"/>
              </w:rPr>
              <w:t xml:space="preserve">PHASE 06 — DOCUMENTATION</w:t>
            </w:r>
          </w:p>
          <w:p>
            <w:pPr>
              <w:spacing w:before="60"/>
            </w:pPr>
            <w:r>
              <w:rPr>
                <w:b/>
                <w:bCs/>
                <w:color w:val="1F3864"/>
                <w:sz w:val="24"/>
                <w:szCs w:val="24"/>
              </w:rPr>
              <w:t xml:space="preserve">Documentation &amp; Portfolio Packaging</w:t>
            </w:r>
          </w:p>
          <w:p>
            <w:pPr>
              <w:spacing w:before="80"/>
            </w:pPr>
            <w:r>
              <w:rPr>
                <w:color w:val="333333"/>
              </w:rPr>
              <w:t xml:space="preserve">I documented every phase of the migration — architecture, decisions, challenges, and results — and packaged the project into a standalone, presentable portfolio piece.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2026-07-07T15:52:36.101Z</dcterms:created>
  <dcterms:modified xsi:type="dcterms:W3CDTF">2026-07-07T15:52:36.113Z</dcterms:modified>
</cp:coreProperties>
</file>

<file path=docProps/custom.xml><?xml version="1.0" encoding="utf-8"?>
<Properties xmlns="http://schemas.openxmlformats.org/officeDocument/2006/custom-properties" xmlns:vt="http://schemas.openxmlformats.org/officeDocument/2006/docPropsVTypes"/>
</file>