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nqqx7rhyc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Цель данного документа – описать текущий процесс (AS-IS) учета зерна.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cvtn2mvzmw2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Участники процесса</w:t>
      </w: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710"/>
        <w:gridCol w:w="6600"/>
        <w:tblGridChange w:id="0">
          <w:tblGrid>
            <w:gridCol w:w="660"/>
            <w:gridCol w:w="1710"/>
            <w:gridCol w:w="66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ведет учет и списывает муку при отгрузке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/>
      </w:pPr>
      <w:bookmarkStart w:colFirst="0" w:colLast="0" w:name="_h0tflj1jjj5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Финансы и бухгалтерия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После приемки и направления зерна в силос бухгалтер приходует зерно и заводит в системе 1С следующую структуру распределения:</w:t>
        <w:br w:type="textWrapping"/>
        <w:t xml:space="preserve">    - 14% — высший сорт,</w:t>
        <w:br w:type="textWrapping"/>
        <w:t xml:space="preserve">    - 6,5% — 2 сорт,</w:t>
        <w:br w:type="textWrapping"/>
        <w:t xml:space="preserve">    - 53,5% — 1 сорт,</w:t>
        <w:br w:type="textWrapping"/>
        <w:t xml:space="preserve">    - 26% — сечка, отруби и зерноотходы.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Бухгалтер списывает муку в момент погрузки.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