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nqqx7rhyc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Цель данного документа – описать текущий процесс (AS-IS) фасовки и отгрузки муки.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cvtn2mvzmw2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Участники процесса</w:t>
      </w: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710"/>
        <w:gridCol w:w="6600"/>
        <w:tblGridChange w:id="0">
          <w:tblGrid>
            <w:gridCol w:w="660"/>
            <w:gridCol w:w="1710"/>
            <w:gridCol w:w="66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Фасовщики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Грузчики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Технолог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6dq8y2eg4n65" w:id="2"/>
      <w:bookmarkEnd w:id="2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3. Фасовка и отгрузка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1. После помола, мука лежит до необходимости фасовки.</w:t>
      </w:r>
    </w:p>
    <w:p w:rsidR="00000000" w:rsidDel="00000000" w:rsidP="00000000" w:rsidRDefault="00000000" w:rsidRPr="00000000" w14:paraId="00000015">
      <w:pPr>
        <w:spacing w:after="240" w:before="0" w:line="240" w:lineRule="auto"/>
        <w:jc w:val="both"/>
        <w:rPr/>
      </w:pPr>
      <w:r w:rsidDel="00000000" w:rsidR="00000000" w:rsidRPr="00000000">
        <w:rPr>
          <w:rtl w:val="0"/>
        </w:rPr>
        <w:t xml:space="preserve">2. Мука фасуется в мешки по 50 (25, 10, 5 и 2) кг.</w:t>
        <w:br w:type="textWrapping"/>
        <w:t xml:space="preserve">3. Расфасованная мука грузится в грузовые машины или вагоны.</w:t>
        <w:br w:type="textWrapping"/>
        <w:t xml:space="preserve">4. Количество муки определяется по числу пустых поддонов (1 поддон = 7 мешков по 50 кг).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