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</w:t>
      </w:r>
      <w:r>
        <w:t xml:space="preserve"> </w:t>
      </w:r>
      <w:r>
        <w:t xml:space="preserve">[-@fig:001]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[-@fig:003]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[-@fig:005]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[-@fig:007]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3757431"/>
            <wp:effectExtent b="0" l="0" r="0" t="0"/>
            <wp:docPr descr="График динамики размера окна TCP с изменением отображен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3733800" cy="3877648"/>
            <wp:effectExtent b="0" l="0" r="0" t="0"/>
            <wp:docPr descr="График динамики длины очереди и средней длины очереди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Королькова А.В., Кулябов Д.С. Руководство к лабораторной работе №2. Моделирование информационных процессов.</w:t>
      </w:r>
      <w:r>
        <w:t xml:space="preserve"> </w:t>
      </w:r>
      <w:r>
        <w:t xml:space="preserve">Использование протокола TCP и алгоритма управления очередью RED. – 2025. — 29с.</w:t>
      </w:r>
    </w:p>
    <w:p>
      <w:pPr>
        <w:numPr>
          <w:ilvl w:val="0"/>
          <w:numId w:val="1003"/>
        </w:numPr>
      </w:pPr>
      <w:r>
        <w:t xml:space="preserve">АЛГОРИТМ RED И МЕХАНИЗМ ECN</w:t>
      </w:r>
      <w:r>
        <w:t xml:space="preserve"> </w:t>
      </w:r>
      <w:r>
        <w:t xml:space="preserve">Источник: https://opengl.org.ru/upravlenie-trafikom-i-kachestvo-obsluzhevaniya-v-seti/algoritm-red-i-mekhanizm-ecn.html</w:t>
      </w:r>
    </w:p>
    <w:p>
      <w:pPr>
        <w:numPr>
          <w:ilvl w:val="0"/>
          <w:numId w:val="1003"/>
        </w:numPr>
      </w:pPr>
      <w:r>
        <w:t xml:space="preserve">Алгоритмы RED и WRED</w:t>
      </w:r>
      <w:r>
        <w:t xml:space="preserve"> </w:t>
      </w:r>
      <w:r>
        <w:t xml:space="preserve">https://intuit.ru/studies/courses/9/9/lecture/281?page=2</w:t>
      </w:r>
    </w:p>
    <w:p>
      <w:pPr>
        <w:numPr>
          <w:ilvl w:val="0"/>
          <w:numId w:val="1003"/>
        </w:numPr>
      </w:pPr>
      <w:r>
        <w:t xml:space="preserve">Модели реализации протокола TCP и его перспективы Семенов Ю.А. (ИТЭФ-МФТИ)</w:t>
      </w:r>
      <w:r>
        <w:t xml:space="preserve"> </w:t>
      </w:r>
      <w:r>
        <w:t xml:space="preserve">http://book.itep.ru/4/44/tcp.htm</w:t>
      </w:r>
    </w:p>
    <w:p>
      <w:pPr>
        <w:numPr>
          <w:ilvl w:val="0"/>
          <w:numId w:val="1003"/>
        </w:numPr>
      </w:pPr>
      <w:r>
        <w:t xml:space="preserve">Модель управления очередями на маршрутизаторах</w:t>
      </w:r>
      <w:r>
        <w:t xml:space="preserve"> </w:t>
      </w:r>
      <w:r>
        <w:t xml:space="preserve">https://cyberleninka.ru/article/n/model-upravleniya-ocheredyami-na-marshrutizatorah?ysclid=m9ctz9fh22471690163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Ендонова Арюна Валерьевна</dc:creator>
  <dc:language>ru-RU</dc:language>
  <cp:keywords/>
  <dcterms:created xsi:type="dcterms:W3CDTF">2025-04-11T13:44:39Z</dcterms:created>
  <dcterms:modified xsi:type="dcterms:W3CDTF">2025-04-11T13:44:39Z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Исследование протокола TCP и алгоритма управления очередью RED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