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№8. Модель TCP/AQM. – Москва, 2025. – 82 с.</w:t>
      </w:r>
    </w:p>
    <w:p>
      <w:pPr>
        <w:numPr>
          <w:ilvl w:val="0"/>
          <w:numId w:val="1002"/>
        </w:numPr>
      </w:pPr>
      <w:r>
        <w:t xml:space="preserve">Васенин В.А., Симонова Г.И. Математические модели управления трафиком в интернет: новые подходы на основе схем TCP/AQM // Автоматика и телемеханика. 2005. № 8. С. 94–107; Autom. Remote Control. 66:8 (2005). С. 1274–1286.</w:t>
      </w:r>
    </w:p>
    <w:p>
      <w:pPr>
        <w:numPr>
          <w:ilvl w:val="0"/>
          <w:numId w:val="1002"/>
        </w:numPr>
      </w:pPr>
      <w:r>
        <w:t xml:space="preserve">Батыр С.С., Хорхордин А.В. Построение модели сети передачи данных для исследования технологии AQM.</w:t>
      </w:r>
    </w:p>
    <w:p>
      <w:pPr>
        <w:numPr>
          <w:ilvl w:val="0"/>
          <w:numId w:val="1002"/>
        </w:numPr>
      </w:pPr>
      <w:r>
        <w:t xml:space="preserve">Approximation models for the evaluation of TCP/AQM networks // Bulletin of the Polish Academy of Sciences. Technical Sciences. 2022. Vol. 70(4). Article number: e141986.</w:t>
      </w:r>
    </w:p>
    <w:p>
      <w:pPr>
        <w:numPr>
          <w:ilvl w:val="0"/>
          <w:numId w:val="1002"/>
        </w:numPr>
      </w:pPr>
      <w:r>
        <w:t xml:space="preserve">Hotchi R. Active Queue Management Supporting TCP Flows Using Disturbance Observer and Smith Predictor. January 2020.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Ендонова Арюна Валерьевна</dc:creator>
  <dc:language>ru-RU</dc:language>
  <cp:keywords/>
  <dcterms:created xsi:type="dcterms:W3CDTF">2025-04-12T16:37:15Z</dcterms:created>
  <dcterms:modified xsi:type="dcterms:W3CDTF">2025-04-12T16:37:15Z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