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2289842" cy="1114184"/>
            <wp:effectExtent b="0" l="0" r="0" t="0"/>
            <wp:docPr descr="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979727"/>
            <wp:effectExtent b="0" l="0" r="0" t="0"/>
            <wp:docPr descr="Начальный граф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граф</w:t>
      </w:r>
    </w:p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r>
        <w:drawing>
          <wp:inline>
            <wp:extent cx="3733800" cy="2697740"/>
            <wp:effectExtent b="0" l="0" r="0" t="0"/>
            <wp:docPr descr="Добавление промежуточных состоя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промежуточных состояний</w:t>
      </w:r>
    </w:p>
    <w:p>
      <w:pPr>
        <w:pStyle w:val="BodyText"/>
      </w:pPr>
      <w:r>
        <w:t xml:space="preserve">В декларациях задаём(рис.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2097741" cy="706931"/>
            <wp:effectExtent b="0" l="0" r="0" t="0"/>
            <wp:docPr descr="Задание декларац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Модель простого протокола передачи данных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простого протокола передачи данных</w:t>
      </w:r>
    </w:p>
    <w:p>
      <w:pPr>
        <w:pStyle w:val="CaptionedFigure"/>
      </w:pPr>
      <w:r>
        <w:drawing>
          <wp:inline>
            <wp:extent cx="3733800" cy="2575913"/>
            <wp:effectExtent b="0" l="0" r="0" t="0"/>
            <wp:docPr descr="Запуск модели простого протокола передачи данных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 простого протокола передачи данных</w:t>
      </w:r>
    </w:p>
    <w:bookmarkStart w:id="43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aptionedFigure"/>
      </w:pPr>
      <w:r>
        <w:drawing>
          <wp:inline>
            <wp:extent cx="3733800" cy="1740668"/>
            <wp:effectExtent b="0" l="0" r="0" t="0"/>
            <wp:docPr descr="Пространство состояний для модели простого протокола передачи данных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Пространство состояний для модели простого протокола передачи данных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Королькова А.В., Кулябов Д.С. Руководство к лабораторной работе №12. Пример моделирования простого протокола передачи данных. – Москва, 2025. – 117 с.</w:t>
      </w:r>
    </w:p>
    <w:p>
      <w:pPr>
        <w:numPr>
          <w:ilvl w:val="0"/>
          <w:numId w:val="1003"/>
        </w:numPr>
      </w:pPr>
      <w:r>
        <w:t xml:space="preserve">Сетевые протоколы: базовые понятия и описание самых востребованных правил // Selectel. URL: https://selectel.ru/blog/network-protocols/ (дата обращения: 15.04.2025).</w:t>
      </w:r>
    </w:p>
    <w:p>
      <w:pPr>
        <w:numPr>
          <w:ilvl w:val="0"/>
          <w:numId w:val="1003"/>
        </w:numPr>
      </w:pPr>
      <w:r>
        <w:t xml:space="preserve">Протокол передачи данных // Википедия. URL: https://ru.wikipedia.org/wiki/Протокол_передачи_данных (дата обращения: 15.04.2025).</w:t>
      </w:r>
    </w:p>
    <w:p>
      <w:pPr>
        <w:numPr>
          <w:ilvl w:val="0"/>
          <w:numId w:val="1003"/>
        </w:numPr>
      </w:pPr>
      <w:r>
        <w:t xml:space="preserve">Список сетевых протоколов // Википедия. URL: https://ru.wikipedia.org/wiki/Список_сетевых_протоколов (дата обращения: 15.04.2025).</w:t>
      </w:r>
    </w:p>
    <w:p>
      <w:pPr>
        <w:numPr>
          <w:ilvl w:val="0"/>
          <w:numId w:val="1003"/>
        </w:numPr>
      </w:pPr>
      <w:r>
        <w:t xml:space="preserve">О протоколах передачи данных // Habr. URL: https://habr.com/ru/articles/138533/ (дата обращения: 15.04.2025).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Ендонова Арюна Валерьевна</dc:creator>
  <dc:language>ru-RU</dc:language>
  <cp:keywords/>
  <dcterms:created xsi:type="dcterms:W3CDTF">2025-04-15T10:17:48Z</dcterms:created>
  <dcterms:modified xsi:type="dcterms:W3CDTF">2025-04-15T10:17:48Z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Пример моделирования простого протокола передачи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