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</w:t>
      </w:r>
      <w:r>
        <w:t xml:space="preserve"> </w:t>
      </w:r>
      <w:r>
        <w:t xml:space="preserve">[-@fig:009]</w:t>
      </w:r>
      <w:r>
        <w:t xml:space="preserve">,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446167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</w:t>
      </w:r>
      <w:r>
        <w:t xml:space="preserve"> </w:t>
      </w:r>
      <w:r>
        <w:t xml:space="preserve">[~@fig:016]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5"/>
    <w:bookmarkStart w:id="7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{.unnumbered}</w:t>
      </w:r>
      <w:r>
        <w:t xml:space="preserve"> </w:t>
      </w:r>
      <w:r>
        <w:t xml:space="preserve">1. Королькова А.В., Кулябов Д.С. Руководство к лабораторной работе №14. Модели обработки заказов. – 2025.</w:t>
      </w:r>
      <w:r>
        <w:t xml:space="preserve"> </w:t>
      </w:r>
      <w:r>
        <w:t xml:space="preserve">2. Овсянников А.В., Козел В.М. Формирование и моделирование стохастических процессов с заданными свойствами траекторий // Доклады Белорусского государственного университета информатики и радиоэлектроники. – 2016. – URL: https://cyberleninka.ru/article/n/formirovanie-i-modelirovanie-stohasticheskih-protsessov-s-zadannymi-svoystvami-traektoriy</w:t>
      </w:r>
      <w:r>
        <w:t xml:space="preserve"> </w:t>
      </w:r>
      <w:r>
        <w:t xml:space="preserve">3. Моделирование стохастических систем. – Мордовский государственный педагогический институт им. М.Е. Евсевьева, 2016. – URL: https://studfile.net/preview/5553697/page:9/</w:t>
      </w:r>
      <w:r>
        <w:t xml:space="preserve"> </w:t>
      </w:r>
      <w:r>
        <w:t xml:space="preserve">4. Стохастические методы. Имитационное моделирование. – URL: https://polyakov.imamod.ru/arc/stud/mmca/lecture_06.pdf</w:t>
      </w:r>
      <w:r>
        <w:t xml:space="preserve"> </w:t>
      </w:r>
      <w:r>
        <w:t xml:space="preserve">5. Кожевникова И.А., Журбенко И.Г. Стохастическое моделирование процессов.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Ендонова Арюна Валерьевна</dc:creator>
  <dc:language>ru-RU</dc:language>
  <cp:keywords/>
  <dcterms:created xsi:type="dcterms:W3CDTF">2025-05-13T21:05:43Z</dcterms:created>
  <dcterms:modified xsi:type="dcterms:W3CDTF">2025-05-13T21:05:43Z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 обработки заказов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