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ServiceSetu showcase handoff</w:t>
      </w:r>
    </w:p>
    <w:p>
      <w:pPr>
        <w:pStyle w:val="Subtitle"/>
      </w:pPr>
      <w:r>
        <w:t>TomTom Taskrabbit and native FET testnet</w:t>
      </w:r>
    </w:p>
    <w:p>
      <w:r>
        <w:t>24 October 2026   Prepared for the 24 October showcase</w:t>
      </w:r>
    </w:p>
    <w:p>
      <w:r>
        <w:t>Both MCP connections were checked live, and ASI One rendered TomTom India discoveries and Taskrabbit assistance. The prior mock chat contains the complete 17-event booking and recovery journey. The latest fresh run failed during response delivery and safe hold expiry. A verified public shared chat and the owner recorded video remain required for submission.</w:t>
      </w:r>
    </w:p>
    <w:p>
      <w:pPr>
        <w:pStyle w:val="Heading2"/>
      </w:pPr>
      <w:r>
        <w:t>Source saved and published</w:t>
      </w:r>
    </w:p>
    <w:p>
      <w:r>
        <w:t>Published implementation commits 78e14e3 and 0ddd83a contain Dorado FET and MCP work. Readiness follow-ups 94827c0 and 06d4290 were committed and pushed on 23 October. They record tests, live delivery failures, public profile discovery and remaining deliverables. GitHub visibility was checked as public.</w:t>
      </w:r>
    </w:p>
    <w:p>
      <w:r>
        <w:t>Repository: https://github.com/arywk40-hue/ServiceSetu</w:t>
      </w:r>
    </w:p>
    <w:p>
      <w:r>
        <w:t>This package includes the existing Google Places work from Antigravity, reviewed and hardened for publication, plus the owner video script. Google live calls are disabled for the showcase. Private configuration, databases, tokens, seeds and local evidence are excluded.</w:t>
      </w:r>
    </w:p>
    <w:p>
      <w:pPr>
        <w:pStyle w:val="Heading2"/>
      </w:pPr>
      <w:r>
        <w:t>Verification evidence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600"/>
        <w:gridCol w:w="6552"/>
      </w:tblGrid>
      <w:tr>
        <w:trPr>
          <w:tblHeader/>
        </w:trPr>
        <w:tc>
          <w:tcPr>
            <w:tcW w:type="dxa" w:w="5112"/>
            <w:vAlign w:val="center"/>
            <w:shd w:fill="333333"/>
            <w:tcMar>
              <w:top w:w="85" w:type="dxa"/>
              <w:left w:w="85" w:type="dxa"/>
              <w:bottom w:w="85" w:type="dxa"/>
              <w:right w:w="85" w:type="dxa"/>
            </w:tcMar>
          </w:tcPr>
          <w:p>
            <w:pPr>
              <w:spacing w:after="40" w:line="252" w:lineRule="auto"/>
            </w:pPr>
            <w:r>
              <w:rPr>
                <w:b/>
                <w:color w:val="FFFFFF"/>
                <w:sz w:val="18"/>
              </w:rPr>
              <w:t>Check</w:t>
            </w:r>
          </w:p>
        </w:tc>
        <w:tc>
          <w:tcPr>
            <w:tcW w:type="dxa" w:w="5112"/>
            <w:vAlign w:val="center"/>
            <w:shd w:fill="333333"/>
            <w:tcMar>
              <w:top w:w="85" w:type="dxa"/>
              <w:left w:w="85" w:type="dxa"/>
              <w:bottom w:w="85" w:type="dxa"/>
              <w:right w:w="85" w:type="dxa"/>
            </w:tcMar>
          </w:tcPr>
          <w:p>
            <w:pPr>
              <w:spacing w:after="40" w:line="252" w:lineRule="auto"/>
            </w:pPr>
            <w:r>
              <w:rPr>
                <w:b/>
                <w:color w:val="FFFFFF"/>
                <w:sz w:val="18"/>
              </w:rPr>
              <w:t>Actual result</w:t>
            </w:r>
          </w:p>
        </w:tc>
      </w:tr>
      <w:tr>
        <w:trPr>
          <w:cantSplit/>
        </w:trPr>
        <w:tc>
          <w:tcPr>
            <w:tcW w:type="dxa" w:w="3600"/>
            <w:vAlign w:val="center"/>
            <w:shd w:fill="FFFFFF"/>
            <w:tcMar>
              <w:top w:w="85" w:type="dxa"/>
              <w:left w:w="85" w:type="dxa"/>
              <w:bottom w:w="85" w:type="dxa"/>
              <w:right w:w="85" w:type="dxa"/>
            </w:tcMar>
          </w:tcPr>
          <w:p>
            <w:pPr>
              <w:spacing w:after="40" w:line="252" w:lineRule="auto"/>
            </w:pPr>
            <w:r>
              <w:rPr>
                <w:b w:val="0"/>
                <w:color w:val="000000"/>
                <w:sz w:val="18"/>
              </w:rPr>
              <w:t>Committed MCP source snapshot</w:t>
            </w:r>
          </w:p>
        </w:tc>
        <w:tc>
          <w:tcPr>
            <w:tcW w:type="dxa" w:w="6552"/>
            <w:vAlign w:val="center"/>
            <w:shd w:fill="FFFFFF"/>
            <w:tcMar>
              <w:top w:w="85" w:type="dxa"/>
              <w:left w:w="85" w:type="dxa"/>
              <w:bottom w:w="85" w:type="dxa"/>
              <w:right w:w="85" w:type="dxa"/>
            </w:tcMar>
          </w:tcPr>
          <w:p>
            <w:pPr>
              <w:spacing w:after="40" w:line="252" w:lineRule="auto"/>
            </w:pPr>
            <w:r>
              <w:rPr>
                <w:b w:val="0"/>
                <w:color w:val="000000"/>
                <w:sz w:val="18"/>
              </w:rPr>
              <w:t>320 tests passed in 31.557 seconds; 0 failed and 0 skipped. Mesh was not run by this unit command.</w:t>
            </w:r>
          </w:p>
        </w:tc>
      </w:tr>
      <w:tr>
        <w:trPr>
          <w:cantSplit/>
        </w:trPr>
        <w:tc>
          <w:tcPr>
            <w:tcW w:type="dxa" w:w="3600"/>
            <w:vAlign w:val="center"/>
            <w:shd w:fill="F4F6F8"/>
            <w:tcMar>
              <w:top w:w="85" w:type="dxa"/>
              <w:left w:w="85" w:type="dxa"/>
              <w:bottom w:w="85" w:type="dxa"/>
              <w:right w:w="85" w:type="dxa"/>
            </w:tcMar>
          </w:tcPr>
          <w:p>
            <w:pPr>
              <w:spacing w:after="40" w:line="252" w:lineRule="auto"/>
            </w:pPr>
            <w:r>
              <w:rPr>
                <w:b w:val="0"/>
                <w:color w:val="000000"/>
                <w:sz w:val="18"/>
              </w:rPr>
              <w:t>Complete working tree</w:t>
            </w:r>
          </w:p>
        </w:tc>
        <w:tc>
          <w:tcPr>
            <w:tcW w:type="dxa" w:w="6552"/>
            <w:vAlign w:val="center"/>
            <w:shd w:fill="F4F6F8"/>
            <w:tcMar>
              <w:top w:w="85" w:type="dxa"/>
              <w:left w:w="85" w:type="dxa"/>
              <w:bottom w:w="85" w:type="dxa"/>
              <w:right w:w="85" w:type="dxa"/>
            </w:tcMar>
          </w:tcPr>
          <w:p>
            <w:pPr>
              <w:spacing w:after="40" w:line="252" w:lineRule="auto"/>
            </w:pPr>
            <w:r>
              <w:rPr>
                <w:b w:val="0"/>
                <w:color w:val="000000"/>
                <w:sz w:val="18"/>
              </w:rPr>
              <w:t>343 tests passed in 34.247 seconds, including 23 Google Places checks. Zero failures and skips. Google checks use mocked responses; no live Google call was made.</w:t>
            </w:r>
          </w:p>
        </w:tc>
      </w:tr>
      <w:tr>
        <w:trPr>
          <w:cantSplit/>
        </w:trPr>
        <w:tc>
          <w:tcPr>
            <w:tcW w:type="dxa" w:w="3600"/>
            <w:vAlign w:val="center"/>
            <w:shd w:fill="FFFFFF"/>
            <w:tcMar>
              <w:top w:w="85" w:type="dxa"/>
              <w:left w:w="85" w:type="dxa"/>
              <w:bottom w:w="85" w:type="dxa"/>
              <w:right w:w="85" w:type="dxa"/>
            </w:tcMar>
          </w:tcPr>
          <w:p>
            <w:pPr>
              <w:spacing w:after="40" w:line="252" w:lineRule="auto"/>
            </w:pPr>
            <w:r>
              <w:rPr>
                <w:b w:val="0"/>
                <w:color w:val="000000"/>
                <w:sz w:val="18"/>
              </w:rPr>
              <w:t>Targeted MCP checks</w:t>
            </w:r>
          </w:p>
        </w:tc>
        <w:tc>
          <w:tcPr>
            <w:tcW w:type="dxa" w:w="6552"/>
            <w:vAlign w:val="center"/>
            <w:shd w:fill="FFFFFF"/>
            <w:tcMar>
              <w:top w:w="85" w:type="dxa"/>
              <w:left w:w="85" w:type="dxa"/>
              <w:bottom w:w="85" w:type="dxa"/>
              <w:right w:w="85" w:type="dxa"/>
            </w:tcMar>
          </w:tcPr>
          <w:p>
            <w:pPr>
              <w:spacing w:after="40" w:line="252" w:lineRule="auto"/>
            </w:pPr>
            <w:r>
              <w:rPr>
                <w:b w:val="0"/>
                <w:color w:val="000000"/>
                <w:sz w:val="18"/>
              </w:rPr>
              <w:t>22 passed, including an actual SDK connection to an in-process test MCP server, schema validation and booking boundaries.</w:t>
            </w:r>
          </w:p>
        </w:tc>
      </w:tr>
      <w:tr>
        <w:trPr>
          <w:cantSplit/>
        </w:trPr>
        <w:tc>
          <w:tcPr>
            <w:tcW w:type="dxa" w:w="3600"/>
            <w:vAlign w:val="center"/>
            <w:shd w:fill="F4F6F8"/>
            <w:tcMar>
              <w:top w:w="85" w:type="dxa"/>
              <w:left w:w="85" w:type="dxa"/>
              <w:bottom w:w="85" w:type="dxa"/>
              <w:right w:w="85" w:type="dxa"/>
            </w:tcMar>
          </w:tcPr>
          <w:p>
            <w:pPr>
              <w:spacing w:after="40" w:line="252" w:lineRule="auto"/>
            </w:pPr>
            <w:r>
              <w:rPr>
                <w:b w:val="0"/>
                <w:color w:val="000000"/>
                <w:sz w:val="18"/>
              </w:rPr>
              <w:t>Targeted FET checks</w:t>
            </w:r>
          </w:p>
        </w:tc>
        <w:tc>
          <w:tcPr>
            <w:tcW w:type="dxa" w:w="6552"/>
            <w:vAlign w:val="center"/>
            <w:shd w:fill="F4F6F8"/>
            <w:tcMar>
              <w:top w:w="85" w:type="dxa"/>
              <w:left w:w="85" w:type="dxa"/>
              <w:bottom w:w="85" w:type="dxa"/>
              <w:right w:w="85" w:type="dxa"/>
            </w:tcMar>
          </w:tcPr>
          <w:p>
            <w:pPr>
              <w:spacing w:after="40" w:line="252" w:lineRule="auto"/>
            </w:pPr>
            <w:r>
              <w:rPr>
                <w:b w:val="0"/>
                <w:color w:val="000000"/>
                <w:sz w:val="18"/>
              </w:rPr>
              <w:t>18 passed using ledger doubles; no wallet transfer was made.</w:t>
            </w:r>
          </w:p>
        </w:tc>
      </w:tr>
      <w:tr>
        <w:trPr>
          <w:cantSplit/>
        </w:trPr>
        <w:tc>
          <w:tcPr>
            <w:tcW w:type="dxa" w:w="3600"/>
            <w:vAlign w:val="center"/>
            <w:shd w:fill="FFFFFF"/>
            <w:tcMar>
              <w:top w:w="85" w:type="dxa"/>
              <w:left w:w="85" w:type="dxa"/>
              <w:bottom w:w="85" w:type="dxa"/>
              <w:right w:w="85" w:type="dxa"/>
            </w:tcMar>
          </w:tcPr>
          <w:p>
            <w:pPr>
              <w:spacing w:after="40" w:line="252" w:lineRule="auto"/>
            </w:pPr>
            <w:r>
              <w:rPr>
                <w:b w:val="0"/>
                <w:color w:val="000000"/>
                <w:sz w:val="18"/>
              </w:rPr>
              <w:t>Current mock mesh smoke</w:t>
            </w:r>
          </w:p>
        </w:tc>
        <w:tc>
          <w:tcPr>
            <w:tcW w:type="dxa" w:w="6552"/>
            <w:vAlign w:val="center"/>
            <w:shd w:fill="FFFFFF"/>
            <w:tcMar>
              <w:top w:w="85" w:type="dxa"/>
              <w:left w:w="85" w:type="dxa"/>
              <w:bottom w:w="85" w:type="dxa"/>
              <w:right w:w="85" w:type="dxa"/>
            </w:tcMar>
          </w:tcPr>
          <w:p>
            <w:pPr>
              <w:spacing w:after="40" w:line="252" w:lineRule="auto"/>
            </w:pPr>
            <w:r>
              <w:rPr>
                <w:b w:val="0"/>
                <w:color w:val="000000"/>
                <w:sz w:val="18"/>
              </w:rPr>
              <w:t>Passed the complete AC journey using real local uAgent envelopes, with offline Almanac version queries stubbed.</w:t>
            </w:r>
          </w:p>
        </w:tc>
      </w:tr>
      <w:tr>
        <w:trPr>
          <w:cantSplit/>
        </w:trPr>
        <w:tc>
          <w:tcPr>
            <w:tcW w:type="dxa" w:w="3600"/>
            <w:vAlign w:val="center"/>
            <w:shd w:fill="F4F6F8"/>
            <w:tcMar>
              <w:top w:w="85" w:type="dxa"/>
              <w:left w:w="85" w:type="dxa"/>
              <w:bottom w:w="85" w:type="dxa"/>
              <w:right w:w="85" w:type="dxa"/>
            </w:tcMar>
          </w:tcPr>
          <w:p>
            <w:pPr>
              <w:spacing w:after="40" w:line="252" w:lineRule="auto"/>
            </w:pPr>
            <w:r>
              <w:rPr>
                <w:b w:val="0"/>
                <w:color w:val="000000"/>
                <w:sz w:val="18"/>
              </w:rPr>
              <w:t>Live TomTom MCP and ASI One</w:t>
            </w:r>
          </w:p>
        </w:tc>
        <w:tc>
          <w:tcPr>
            <w:tcW w:type="dxa" w:w="6552"/>
            <w:vAlign w:val="center"/>
            <w:shd w:fill="F4F6F8"/>
            <w:tcMar>
              <w:top w:w="85" w:type="dxa"/>
              <w:left w:w="85" w:type="dxa"/>
              <w:bottom w:w="85" w:type="dxa"/>
              <w:right w:w="85" w:type="dxa"/>
            </w:tcMar>
          </w:tcPr>
          <w:p>
            <w:pPr>
              <w:spacing w:after="40" w:line="252" w:lineRule="auto"/>
            </w:pPr>
            <w:r>
              <w:rPr>
                <w:b w:val="0"/>
                <w:color w:val="000000"/>
                <w:sz w:val="18"/>
              </w:rPr>
              <w:t>Tool discovery passed; Mandi geocoding returned 4 results, Mandi plumber search 4, and Bengaluru repair-shop search 5. The signed-in Concierge rendered the Mandi discovery card with attribution. One route attempt was rejected as ambiguous.</w:t>
            </w:r>
          </w:p>
        </w:tc>
      </w:tr>
      <w:tr>
        <w:trPr>
          <w:cantSplit/>
        </w:trPr>
        <w:tc>
          <w:tcPr>
            <w:tcW w:type="dxa" w:w="3600"/>
            <w:vAlign w:val="center"/>
            <w:shd w:fill="FFFFFF"/>
            <w:tcMar>
              <w:top w:w="85" w:type="dxa"/>
              <w:left w:w="85" w:type="dxa"/>
              <w:bottom w:w="85" w:type="dxa"/>
              <w:right w:w="85" w:type="dxa"/>
            </w:tcMar>
          </w:tcPr>
          <w:p>
            <w:pPr>
              <w:spacing w:after="40" w:line="252" w:lineRule="auto"/>
            </w:pPr>
            <w:r>
              <w:rPr>
                <w:b w:val="0"/>
                <w:color w:val="000000"/>
                <w:sz w:val="18"/>
              </w:rPr>
              <w:t>Additional catalogue rerun</w:t>
            </w:r>
          </w:p>
        </w:tc>
        <w:tc>
          <w:tcPr>
            <w:tcW w:type="dxa" w:w="6552"/>
            <w:vAlign w:val="center"/>
            <w:shd w:fill="FFFFFF"/>
            <w:tcMar>
              <w:top w:w="85" w:type="dxa"/>
              <w:left w:w="85" w:type="dxa"/>
              <w:bottom w:w="85" w:type="dxa"/>
              <w:right w:w="85" w:type="dxa"/>
            </w:tcMar>
          </w:tcPr>
          <w:p>
            <w:pPr>
              <w:spacing w:after="40" w:line="252" w:lineRule="auto"/>
            </w:pPr>
            <w:r>
              <w:rPr>
                <w:b w:val="0"/>
                <w:color w:val="000000"/>
                <w:sz w:val="18"/>
              </w:rPr>
              <w:t>298 tests passed and nine mesh workflows completed before the run stalled. It was stopped and is not counted as a complete 14-workflow rerun.</w:t>
            </w:r>
          </w:p>
        </w:tc>
      </w:tr>
    </w:tbl>
    <w:p/>
    <w:p>
      <w:r>
        <w:t>Local protocol tests, backend database records, rendered ASI One responses and actual payment transactions are different evidence. No real booking, Taskrabbit draft or payment was made during the MCP checks.</w:t>
      </w:r>
    </w:p>
    <w:p>
      <w:pPr>
        <w:pStyle w:val="Heading1"/>
        <w:pageBreakBefore/>
      </w:pPr>
      <w:r>
        <w:t>External integration files</w:t>
      </w:r>
    </w:p>
    <w:p>
      <w:r>
        <w:t>The 13 file MCP commit adds bounded backend connections and a separate external assistance path. Discovery, availability and draft links never create ServiceSetu booking or payment records.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600"/>
        <w:gridCol w:w="6552"/>
      </w:tblGrid>
      <w:tr>
        <w:trPr>
          <w:tblHeader/>
        </w:trPr>
        <w:tc>
          <w:tcPr>
            <w:tcW w:type="dxa" w:w="5112"/>
            <w:vAlign w:val="center"/>
            <w:shd w:fill="333333"/>
            <w:tcMar>
              <w:top w:w="85" w:type="dxa"/>
              <w:left w:w="85" w:type="dxa"/>
              <w:bottom w:w="85" w:type="dxa"/>
              <w:right w:w="85" w:type="dxa"/>
            </w:tcMar>
          </w:tcPr>
          <w:p>
            <w:pPr>
              <w:spacing w:after="40" w:line="252" w:lineRule="auto"/>
            </w:pPr>
            <w:r>
              <w:rPr>
                <w:b/>
                <w:color w:val="FFFFFF"/>
                <w:sz w:val="18"/>
              </w:rPr>
              <w:t>File</w:t>
            </w:r>
          </w:p>
        </w:tc>
        <w:tc>
          <w:tcPr>
            <w:tcW w:type="dxa" w:w="5112"/>
            <w:vAlign w:val="center"/>
            <w:shd w:fill="333333"/>
            <w:tcMar>
              <w:top w:w="85" w:type="dxa"/>
              <w:left w:w="85" w:type="dxa"/>
              <w:bottom w:w="85" w:type="dxa"/>
              <w:right w:w="85" w:type="dxa"/>
            </w:tcMar>
          </w:tcPr>
          <w:p>
            <w:pPr>
              <w:spacing w:after="40" w:line="252" w:lineRule="auto"/>
            </w:pPr>
            <w:r>
              <w:rPr>
                <w:b/>
                <w:color w:val="FFFFFF"/>
                <w:sz w:val="18"/>
              </w:rPr>
              <w:t>Purpose</w:t>
            </w:r>
          </w:p>
        </w:tc>
      </w:tr>
      <w:tr>
        <w:trPr>
          <w:cantSplit/>
        </w:trPr>
        <w:tc>
          <w:tcPr>
            <w:tcW w:type="dxa" w:w="3600"/>
            <w:vAlign w:val="center"/>
            <w:shd w:fill="FFFFFF"/>
            <w:tcMar>
              <w:top w:w="85" w:type="dxa"/>
              <w:left w:w="85" w:type="dxa"/>
              <w:bottom w:w="85" w:type="dxa"/>
              <w:right w:w="85" w:type="dxa"/>
            </w:tcMar>
          </w:tcPr>
          <w:p>
            <w:pPr>
              <w:spacing w:after="40" w:line="252" w:lineRule="auto"/>
            </w:pPr>
            <w:r>
              <w:rPr>
                <w:b w:val="0"/>
                <w:color w:val="000000"/>
                <w:sz w:val="18"/>
              </w:rPr>
              <w:t>servicesetu/external_mcp.py</w:t>
            </w:r>
          </w:p>
        </w:tc>
        <w:tc>
          <w:tcPr>
            <w:tcW w:type="dxa" w:w="6552"/>
            <w:vAlign w:val="center"/>
            <w:shd w:fill="FFFFFF"/>
            <w:tcMar>
              <w:top w:w="85" w:type="dxa"/>
              <w:left w:w="85" w:type="dxa"/>
              <w:bottom w:w="85" w:type="dxa"/>
              <w:right w:w="85" w:type="dxa"/>
            </w:tcMar>
          </w:tcPr>
          <w:p>
            <w:pPr>
              <w:spacing w:after="40" w:line="252" w:lineRule="auto"/>
            </w:pPr>
            <w:r>
              <w:rPr>
                <w:b w:val="0"/>
                <w:color w:val="000000"/>
                <w:sz w:val="18"/>
              </w:rPr>
              <w:t>Official Python SDK transport, initialization, tool discovery, schema validation, allowlists, safe errors and request limits.</w:t>
            </w:r>
          </w:p>
        </w:tc>
      </w:tr>
      <w:tr>
        <w:trPr>
          <w:cantSplit/>
        </w:trPr>
        <w:tc>
          <w:tcPr>
            <w:tcW w:type="dxa" w:w="3600"/>
            <w:vAlign w:val="center"/>
            <w:shd w:fill="F4F6F8"/>
            <w:tcMar>
              <w:top w:w="85" w:type="dxa"/>
              <w:left w:w="85" w:type="dxa"/>
              <w:bottom w:w="85" w:type="dxa"/>
              <w:right w:w="85" w:type="dxa"/>
            </w:tcMar>
          </w:tcPr>
          <w:p>
            <w:pPr>
              <w:spacing w:after="40" w:line="252" w:lineRule="auto"/>
            </w:pPr>
            <w:r>
              <w:rPr>
                <w:b w:val="0"/>
                <w:color w:val="000000"/>
                <w:sz w:val="18"/>
              </w:rPr>
              <w:t>servicesetu/discovery.py</w:t>
            </w:r>
          </w:p>
        </w:tc>
        <w:tc>
          <w:tcPr>
            <w:tcW w:type="dxa" w:w="6552"/>
            <w:vAlign w:val="center"/>
            <w:shd w:fill="F4F6F8"/>
            <w:tcMar>
              <w:top w:w="85" w:type="dxa"/>
              <w:left w:w="85" w:type="dxa"/>
              <w:bottom w:w="85" w:type="dxa"/>
              <w:right w:w="85" w:type="dxa"/>
            </w:tcMar>
          </w:tcPr>
          <w:p>
            <w:pPr>
              <w:spacing w:after="40" w:line="252" w:lineRule="auto"/>
            </w:pPr>
            <w:r>
              <w:rPr>
                <w:b w:val="0"/>
                <w:color w:val="000000"/>
                <w:sz w:val="18"/>
              </w:rPr>
              <w:t>TomTom geocoding, POI search and routing; Taskrabbit US location checks, availability and explicit draft links.</w:t>
            </w:r>
          </w:p>
        </w:tc>
      </w:tr>
      <w:tr>
        <w:trPr>
          <w:cantSplit/>
        </w:trPr>
        <w:tc>
          <w:tcPr>
            <w:tcW w:type="dxa" w:w="3600"/>
            <w:vAlign w:val="center"/>
            <w:shd w:fill="FFFFFF"/>
            <w:tcMar>
              <w:top w:w="85" w:type="dxa"/>
              <w:left w:w="85" w:type="dxa"/>
              <w:bottom w:w="85" w:type="dxa"/>
              <w:right w:w="85" w:type="dxa"/>
            </w:tcMar>
          </w:tcPr>
          <w:p>
            <w:pPr>
              <w:spacing w:after="40" w:line="252" w:lineRule="auto"/>
            </w:pPr>
            <w:r>
              <w:rPr>
                <w:b w:val="0"/>
                <w:color w:val="000000"/>
                <w:sz w:val="18"/>
              </w:rPr>
              <w:t>servicesetu/external_conversation.py</w:t>
            </w:r>
          </w:p>
        </w:tc>
        <w:tc>
          <w:tcPr>
            <w:tcW w:type="dxa" w:w="6552"/>
            <w:vAlign w:val="center"/>
            <w:shd w:fill="FFFFFF"/>
            <w:tcMar>
              <w:top w:w="85" w:type="dxa"/>
              <w:left w:w="85" w:type="dxa"/>
              <w:bottom w:w="85" w:type="dxa"/>
              <w:right w:w="85" w:type="dxa"/>
            </w:tcMar>
          </w:tcPr>
          <w:p>
            <w:pPr>
              <w:spacing w:after="40" w:line="252" w:lineRule="auto"/>
            </w:pPr>
            <w:r>
              <w:rPr>
                <w:b w:val="0"/>
                <w:color w:val="000000"/>
                <w:sz w:val="18"/>
              </w:rPr>
              <w:t>Customer and session state, returned scoping questions, fresh review token, draft claim and retry protection.</w:t>
            </w:r>
          </w:p>
        </w:tc>
      </w:tr>
      <w:tr>
        <w:trPr>
          <w:cantSplit/>
        </w:trPr>
        <w:tc>
          <w:tcPr>
            <w:tcW w:type="dxa" w:w="3600"/>
            <w:vAlign w:val="center"/>
            <w:shd w:fill="F4F6F8"/>
            <w:tcMar>
              <w:top w:w="85" w:type="dxa"/>
              <w:left w:w="85" w:type="dxa"/>
              <w:bottom w:w="85" w:type="dxa"/>
              <w:right w:w="85" w:type="dxa"/>
            </w:tcMar>
          </w:tcPr>
          <w:p>
            <w:pPr>
              <w:spacing w:after="40" w:line="252" w:lineRule="auto"/>
            </w:pPr>
            <w:r>
              <w:rPr>
                <w:b w:val="0"/>
                <w:color w:val="000000"/>
                <w:sz w:val="18"/>
              </w:rPr>
              <w:t>servicesetu/external_cards.py</w:t>
            </w:r>
          </w:p>
        </w:tc>
        <w:tc>
          <w:tcPr>
            <w:tcW w:type="dxa" w:w="6552"/>
            <w:vAlign w:val="center"/>
            <w:shd w:fill="F4F6F8"/>
            <w:tcMar>
              <w:top w:w="85" w:type="dxa"/>
              <w:left w:w="85" w:type="dxa"/>
              <w:bottom w:w="85" w:type="dxa"/>
              <w:right w:w="85" w:type="dxa"/>
            </w:tcMar>
          </w:tcPr>
          <w:p>
            <w:pPr>
              <w:spacing w:after="40" w:line="252" w:lineRule="auto"/>
            </w:pPr>
            <w:r>
              <w:rPr>
                <w:b w:val="0"/>
                <w:color w:val="000000"/>
                <w:sz w:val="18"/>
              </w:rPr>
              <w:t>Existing ACP cards and text fallbacks, honest source labels, correct currency and qualified route estimates.</w:t>
            </w:r>
          </w:p>
        </w:tc>
      </w:tr>
      <w:tr>
        <w:trPr>
          <w:cantSplit/>
        </w:trPr>
        <w:tc>
          <w:tcPr>
            <w:tcW w:type="dxa" w:w="3600"/>
            <w:vAlign w:val="center"/>
            <w:shd w:fill="FFFFFF"/>
            <w:tcMar>
              <w:top w:w="85" w:type="dxa"/>
              <w:left w:w="85" w:type="dxa"/>
              <w:bottom w:w="85" w:type="dxa"/>
              <w:right w:w="85" w:type="dxa"/>
            </w:tcMar>
          </w:tcPr>
          <w:p>
            <w:pPr>
              <w:spacing w:after="40" w:line="252" w:lineRule="auto"/>
            </w:pPr>
            <w:r>
              <w:rPr>
                <w:b w:val="0"/>
                <w:color w:val="000000"/>
                <w:sz w:val="18"/>
              </w:rPr>
              <w:t>servicesetu/mcp_check.py</w:t>
            </w:r>
          </w:p>
        </w:tc>
        <w:tc>
          <w:tcPr>
            <w:tcW w:type="dxa" w:w="6552"/>
            <w:vAlign w:val="center"/>
            <w:shd w:fill="FFFFFF"/>
            <w:tcMar>
              <w:top w:w="85" w:type="dxa"/>
              <w:left w:w="85" w:type="dxa"/>
              <w:bottom w:w="85" w:type="dxa"/>
              <w:right w:w="85" w:type="dxa"/>
            </w:tcMar>
          </w:tcPr>
          <w:p>
            <w:pPr>
              <w:spacing w:after="40" w:line="252" w:lineRule="auto"/>
            </w:pPr>
            <w:r>
              <w:rPr>
                <w:b w:val="0"/>
                <w:color w:val="000000"/>
                <w:sz w:val="18"/>
              </w:rPr>
              <w:t>Read only operator diagnostics that save nonsecret summaries under ignored artifacts/local.</w:t>
            </w:r>
          </w:p>
        </w:tc>
      </w:tr>
      <w:tr>
        <w:trPr>
          <w:cantSplit/>
        </w:trPr>
        <w:tc>
          <w:tcPr>
            <w:tcW w:type="dxa" w:w="3600"/>
            <w:vAlign w:val="center"/>
            <w:shd w:fill="F4F6F8"/>
            <w:tcMar>
              <w:top w:w="85" w:type="dxa"/>
              <w:left w:w="85" w:type="dxa"/>
              <w:bottom w:w="85" w:type="dxa"/>
              <w:right w:w="85" w:type="dxa"/>
            </w:tcMar>
          </w:tcPr>
          <w:p>
            <w:pPr>
              <w:spacing w:after="40" w:line="252" w:lineRule="auto"/>
            </w:pPr>
            <w:r>
              <w:rPr>
                <w:b w:val="0"/>
                <w:color w:val="000000"/>
                <w:sz w:val="18"/>
              </w:rPr>
              <w:t>servicesetu/conversation.py</w:t>
            </w:r>
          </w:p>
        </w:tc>
        <w:tc>
          <w:tcPr>
            <w:tcW w:type="dxa" w:w="6552"/>
            <w:vAlign w:val="center"/>
            <w:shd w:fill="F4F6F8"/>
            <w:tcMar>
              <w:top w:w="85" w:type="dxa"/>
              <w:left w:w="85" w:type="dxa"/>
              <w:bottom w:w="85" w:type="dxa"/>
              <w:right w:w="85" w:type="dxa"/>
            </w:tcMar>
          </w:tcPr>
          <w:p>
            <w:pPr>
              <w:spacing w:after="40" w:line="252" w:lineRule="auto"/>
            </w:pPr>
            <w:r>
              <w:rPr>
                <w:b w:val="0"/>
                <w:color w:val="000000"/>
                <w:sz w:val="18"/>
              </w:rPr>
              <w:t>Routes explicit external requests to the adapters while retaining the original booking and payment paths.</w:t>
            </w:r>
          </w:p>
        </w:tc>
      </w:tr>
      <w:tr>
        <w:trPr>
          <w:cantSplit/>
        </w:trPr>
        <w:tc>
          <w:tcPr>
            <w:tcW w:type="dxa" w:w="3600"/>
            <w:vAlign w:val="center"/>
            <w:shd w:fill="FFFFFF"/>
            <w:tcMar>
              <w:top w:w="85" w:type="dxa"/>
              <w:left w:w="85" w:type="dxa"/>
              <w:bottom w:w="85" w:type="dxa"/>
              <w:right w:w="85" w:type="dxa"/>
            </w:tcMar>
          </w:tcPr>
          <w:p>
            <w:pPr>
              <w:spacing w:after="40" w:line="252" w:lineRule="auto"/>
            </w:pPr>
            <w:r>
              <w:rPr>
                <w:b w:val="0"/>
                <w:color w:val="000000"/>
                <w:sz w:val="18"/>
              </w:rPr>
              <w:t>pyproject.toml</w:t>
            </w:r>
          </w:p>
        </w:tc>
        <w:tc>
          <w:tcPr>
            <w:tcW w:type="dxa" w:w="6552"/>
            <w:vAlign w:val="center"/>
            <w:shd w:fill="FFFFFF"/>
            <w:tcMar>
              <w:top w:w="85" w:type="dxa"/>
              <w:left w:w="85" w:type="dxa"/>
              <w:bottom w:w="85" w:type="dxa"/>
              <w:right w:w="85" w:type="dxa"/>
            </w:tcMar>
          </w:tcPr>
          <w:p>
            <w:pPr>
              <w:spacing w:after="40" w:line="252" w:lineRule="auto"/>
            </w:pPr>
            <w:r>
              <w:rPr>
                <w:b w:val="0"/>
                <w:color w:val="000000"/>
                <w:sz w:val="18"/>
              </w:rPr>
              <w:t>Optional external dependency extra: official MCP SDK, JSON Schema validation, HTTP client and dotenv.</w:t>
            </w:r>
          </w:p>
        </w:tc>
      </w:tr>
      <w:tr>
        <w:trPr>
          <w:cantSplit/>
        </w:trPr>
        <w:tc>
          <w:tcPr>
            <w:tcW w:type="dxa" w:w="3600"/>
            <w:vAlign w:val="center"/>
            <w:shd w:fill="F4F6F8"/>
            <w:tcMar>
              <w:top w:w="85" w:type="dxa"/>
              <w:left w:w="85" w:type="dxa"/>
              <w:bottom w:w="85" w:type="dxa"/>
              <w:right w:w="85" w:type="dxa"/>
            </w:tcMar>
          </w:tcPr>
          <w:p>
            <w:pPr>
              <w:spacing w:after="40" w:line="252" w:lineRule="auto"/>
            </w:pPr>
            <w:r>
              <w:rPr>
                <w:b w:val="0"/>
                <w:color w:val="000000"/>
                <w:sz w:val="18"/>
              </w:rPr>
              <w:t>.env.example</w:t>
            </w:r>
          </w:p>
        </w:tc>
        <w:tc>
          <w:tcPr>
            <w:tcW w:type="dxa" w:w="6552"/>
            <w:vAlign w:val="center"/>
            <w:shd w:fill="F4F6F8"/>
            <w:tcMar>
              <w:top w:w="85" w:type="dxa"/>
              <w:left w:w="85" w:type="dxa"/>
              <w:bottom w:w="85" w:type="dxa"/>
              <w:right w:w="85" w:type="dxa"/>
            </w:tcMar>
          </w:tcPr>
          <w:p>
            <w:pPr>
              <w:spacing w:after="40" w:line="252" w:lineRule="auto"/>
            </w:pPr>
            <w:r>
              <w:rPr>
                <w:b w:val="0"/>
                <w:color w:val="000000"/>
                <w:sz w:val="18"/>
              </w:rPr>
              <w:t>Empty TOMTOM_API_KEY entry and backend configuration notes.</w:t>
            </w:r>
          </w:p>
        </w:tc>
      </w:tr>
      <w:tr>
        <w:trPr>
          <w:cantSplit/>
        </w:trPr>
        <w:tc>
          <w:tcPr>
            <w:tcW w:type="dxa" w:w="3600"/>
            <w:vAlign w:val="center"/>
            <w:shd w:fill="FFFFFF"/>
            <w:tcMar>
              <w:top w:w="85" w:type="dxa"/>
              <w:left w:w="85" w:type="dxa"/>
              <w:bottom w:w="85" w:type="dxa"/>
              <w:right w:w="85" w:type="dxa"/>
            </w:tcMar>
          </w:tcPr>
          <w:p>
            <w:pPr>
              <w:spacing w:after="40" w:line="252" w:lineRule="auto"/>
            </w:pPr>
            <w:r>
              <w:rPr>
                <w:b w:val="0"/>
                <w:color w:val="000000"/>
                <w:sz w:val="18"/>
              </w:rPr>
              <w:t>tests/test_external_mcp.py</w:t>
            </w:r>
          </w:p>
        </w:tc>
        <w:tc>
          <w:tcPr>
            <w:tcW w:type="dxa" w:w="6552"/>
            <w:vAlign w:val="center"/>
            <w:shd w:fill="FFFFFF"/>
            <w:tcMar>
              <w:top w:w="85" w:type="dxa"/>
              <w:left w:w="85" w:type="dxa"/>
              <w:bottom w:w="85" w:type="dxa"/>
              <w:right w:w="85" w:type="dxa"/>
            </w:tcMar>
          </w:tcPr>
          <w:p>
            <w:pPr>
              <w:spacing w:after="40" w:line="252" w:lineRule="auto"/>
            </w:pPr>
            <w:r>
              <w:rPr>
                <w:b w:val="0"/>
                <w:color w:val="000000"/>
                <w:sz w:val="18"/>
              </w:rPr>
              <w:t>22 checks for protocol, result shapes, geography, failure behavior, ownership, retries and no booking creation.</w:t>
            </w:r>
          </w:p>
        </w:tc>
      </w:tr>
      <w:tr>
        <w:trPr>
          <w:cantSplit/>
        </w:trPr>
        <w:tc>
          <w:tcPr>
            <w:tcW w:type="dxa" w:w="3600"/>
            <w:vAlign w:val="center"/>
            <w:shd w:fill="F4F6F8"/>
            <w:tcMar>
              <w:top w:w="85" w:type="dxa"/>
              <w:left w:w="85" w:type="dxa"/>
              <w:bottom w:w="85" w:type="dxa"/>
              <w:right w:w="85" w:type="dxa"/>
            </w:tcMar>
          </w:tcPr>
          <w:p>
            <w:pPr>
              <w:spacing w:after="40" w:line="252" w:lineRule="auto"/>
            </w:pPr>
            <w:r>
              <w:rPr>
                <w:b w:val="0"/>
                <w:color w:val="000000"/>
                <w:sz w:val="18"/>
              </w:rPr>
              <w:t>tests/fixtures/taskrabbit-mcp-tools.json</w:t>
            </w:r>
          </w:p>
        </w:tc>
        <w:tc>
          <w:tcPr>
            <w:tcW w:type="dxa" w:w="6552"/>
            <w:vAlign w:val="center"/>
            <w:shd w:fill="F4F6F8"/>
            <w:tcMar>
              <w:top w:w="85" w:type="dxa"/>
              <w:left w:w="85" w:type="dxa"/>
              <w:bottom w:w="85" w:type="dxa"/>
              <w:right w:w="85" w:type="dxa"/>
            </w:tcMar>
          </w:tcPr>
          <w:p>
            <w:pPr>
              <w:spacing w:after="40" w:line="252" w:lineRule="auto"/>
            </w:pPr>
            <w:r>
              <w:rPr>
                <w:b w:val="0"/>
                <w:color w:val="000000"/>
                <w:sz w:val="18"/>
              </w:rPr>
              <w:t>Public input schemas actually discovered from Taskrabbit; no customer or Tasker data.</w:t>
            </w:r>
          </w:p>
        </w:tc>
      </w:tr>
      <w:tr>
        <w:trPr>
          <w:cantSplit/>
        </w:trPr>
        <w:tc>
          <w:tcPr>
            <w:tcW w:type="dxa" w:w="3600"/>
            <w:vAlign w:val="center"/>
            <w:shd w:fill="FFFFFF"/>
            <w:tcMar>
              <w:top w:w="85" w:type="dxa"/>
              <w:left w:w="85" w:type="dxa"/>
              <w:bottom w:w="85" w:type="dxa"/>
              <w:right w:w="85" w:type="dxa"/>
            </w:tcMar>
          </w:tcPr>
          <w:p>
            <w:pPr>
              <w:spacing w:after="40" w:line="252" w:lineRule="auto"/>
            </w:pPr>
            <w:r>
              <w:rPr>
                <w:b w:val="0"/>
                <w:color w:val="000000"/>
                <w:sz w:val="18"/>
              </w:rPr>
              <w:t>README.md</w:t>
            </w:r>
          </w:p>
        </w:tc>
        <w:tc>
          <w:tcPr>
            <w:tcW w:type="dxa" w:w="6552"/>
            <w:vAlign w:val="center"/>
            <w:shd w:fill="FFFFFF"/>
            <w:tcMar>
              <w:top w:w="85" w:type="dxa"/>
              <w:left w:w="85" w:type="dxa"/>
              <w:bottom w:w="85" w:type="dxa"/>
              <w:right w:w="85" w:type="dxa"/>
            </w:tcMar>
          </w:tcPr>
          <w:p>
            <w:pPr>
              <w:spacing w:after="40" w:line="252" w:lineRule="auto"/>
            </w:pPr>
            <w:r>
              <w:rPr>
                <w:b w:val="0"/>
                <w:color w:val="000000"/>
                <w:sz w:val="18"/>
              </w:rPr>
              <w:t>Entry point, install command and verification scope.</w:t>
            </w:r>
          </w:p>
        </w:tc>
      </w:tr>
      <w:tr>
        <w:trPr>
          <w:cantSplit/>
        </w:trPr>
        <w:tc>
          <w:tcPr>
            <w:tcW w:type="dxa" w:w="3600"/>
            <w:vAlign w:val="center"/>
            <w:shd w:fill="F4F6F8"/>
            <w:tcMar>
              <w:top w:w="85" w:type="dxa"/>
              <w:left w:w="85" w:type="dxa"/>
              <w:bottom w:w="85" w:type="dxa"/>
              <w:right w:w="85" w:type="dxa"/>
            </w:tcMar>
          </w:tcPr>
          <w:p>
            <w:pPr>
              <w:spacing w:after="40" w:line="252" w:lineRule="auto"/>
            </w:pPr>
            <w:r>
              <w:rPr>
                <w:b w:val="0"/>
                <w:color w:val="000000"/>
                <w:sz w:val="18"/>
              </w:rPr>
              <w:t>docs/external-mcp.md</w:t>
            </w:r>
          </w:p>
        </w:tc>
        <w:tc>
          <w:tcPr>
            <w:tcW w:type="dxa" w:w="6552"/>
            <w:vAlign w:val="center"/>
            <w:shd w:fill="F4F6F8"/>
            <w:tcMar>
              <w:top w:w="85" w:type="dxa"/>
              <w:left w:w="85" w:type="dxa"/>
              <w:bottom w:w="85" w:type="dxa"/>
              <w:right w:w="85" w:type="dxa"/>
            </w:tcMar>
          </w:tcPr>
          <w:p>
            <w:pPr>
              <w:spacing w:after="40" w:line="252" w:lineRule="auto"/>
            </w:pPr>
            <w:r>
              <w:rPr>
                <w:b w:val="0"/>
                <w:color w:val="000000"/>
                <w:sz w:val="18"/>
              </w:rPr>
              <w:t>Setup, limits, costs, attribution, customer prompts, actual evidence and blockers.</w:t>
            </w:r>
          </w:p>
        </w:tc>
      </w:tr>
      <w:tr>
        <w:trPr>
          <w:cantSplit/>
        </w:trPr>
        <w:tc>
          <w:tcPr>
            <w:tcW w:type="dxa" w:w="3600"/>
            <w:vAlign w:val="center"/>
            <w:shd w:fill="FFFFFF"/>
            <w:tcMar>
              <w:top w:w="85" w:type="dxa"/>
              <w:left w:w="85" w:type="dxa"/>
              <w:bottom w:w="85" w:type="dxa"/>
              <w:right w:w="85" w:type="dxa"/>
            </w:tcMar>
          </w:tcPr>
          <w:p>
            <w:pPr>
              <w:spacing w:after="40" w:line="252" w:lineRule="auto"/>
            </w:pPr>
            <w:r>
              <w:rPr>
                <w:b w:val="0"/>
                <w:color w:val="000000"/>
                <w:sz w:val="18"/>
              </w:rPr>
              <w:t>docs/submission.md</w:t>
            </w:r>
          </w:p>
        </w:tc>
        <w:tc>
          <w:tcPr>
            <w:tcW w:type="dxa" w:w="6552"/>
            <w:vAlign w:val="center"/>
            <w:shd w:fill="FFFFFF"/>
            <w:tcMar>
              <w:top w:w="85" w:type="dxa"/>
              <w:left w:w="85" w:type="dxa"/>
              <w:bottom w:w="85" w:type="dxa"/>
              <w:right w:w="85" w:type="dxa"/>
            </w:tcMar>
          </w:tcPr>
          <w:p>
            <w:pPr>
              <w:spacing w:after="40" w:line="252" w:lineRule="auto"/>
            </w:pPr>
            <w:r>
              <w:rPr>
                <w:b w:val="0"/>
                <w:color w:val="000000"/>
                <w:sz w:val="18"/>
              </w:rPr>
              <w:t>Current MCP verification and live acceptance status.</w:t>
            </w:r>
          </w:p>
        </w:tc>
      </w:tr>
    </w:tbl>
    <w:p/>
    <w:p>
      <w:pPr>
        <w:pStyle w:val="Heading2"/>
      </w:pPr>
      <w:r>
        <w:t>Connection and failure rules</w:t>
      </w:r>
    </w:p>
    <w:p>
      <w:r>
        <w:t>The client initializes and discovers tools before calling them. It uses fixed official endpoints, at most two discovery pages and five tool calls per operation. Each attempt has an 18 second total deadline and seven second HTTP/message timeouts. Read only work can retry once; draft creation does not retry. Authentication and rate limit failures return safe messages.</w:t>
      </w:r>
    </w:p>
    <w:p>
      <w:r>
        <w:t>Taskrabbit drafts require a current customer/session token, complete returned questions, an explicit final review and an atomic database claim. A lost response stays unresolved instead of creating another draft. No arbitrary external tools, local files, wallet keys or payment tools are exposed.</w:t>
      </w:r>
    </w:p>
    <w:p>
      <w:pPr>
        <w:pStyle w:val="Heading1"/>
        <w:pageBreakBefore/>
      </w:pPr>
      <w:r>
        <w:t>Native FET payment files</w:t>
      </w:r>
    </w:p>
    <w:p>
      <w:r>
        <w:t>The 17 file FET commit adds PAYMENT_MODE=fet_testnet for Dorado only. Mainnet is refused. The fixed test amount is independent of the INR service quote and is displayed before explicit approval.</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600"/>
        <w:gridCol w:w="6552"/>
      </w:tblGrid>
      <w:tr>
        <w:trPr>
          <w:tblHeader/>
        </w:trPr>
        <w:tc>
          <w:tcPr>
            <w:tcW w:type="dxa" w:w="5112"/>
            <w:vAlign w:val="center"/>
            <w:shd w:fill="333333"/>
            <w:tcMar>
              <w:top w:w="85" w:type="dxa"/>
              <w:left w:w="85" w:type="dxa"/>
              <w:bottom w:w="85" w:type="dxa"/>
              <w:right w:w="85" w:type="dxa"/>
            </w:tcMar>
          </w:tcPr>
          <w:p>
            <w:pPr>
              <w:spacing w:after="40" w:line="252" w:lineRule="auto"/>
            </w:pPr>
            <w:r>
              <w:rPr>
                <w:b/>
                <w:color w:val="FFFFFF"/>
                <w:sz w:val="18"/>
              </w:rPr>
              <w:t>File</w:t>
            </w:r>
          </w:p>
        </w:tc>
        <w:tc>
          <w:tcPr>
            <w:tcW w:type="dxa" w:w="5112"/>
            <w:vAlign w:val="center"/>
            <w:shd w:fill="333333"/>
            <w:tcMar>
              <w:top w:w="85" w:type="dxa"/>
              <w:left w:w="85" w:type="dxa"/>
              <w:bottom w:w="85" w:type="dxa"/>
              <w:right w:w="85" w:type="dxa"/>
            </w:tcMar>
          </w:tcPr>
          <w:p>
            <w:pPr>
              <w:spacing w:after="40" w:line="252" w:lineRule="auto"/>
            </w:pPr>
            <w:r>
              <w:rPr>
                <w:b/>
                <w:color w:val="FFFFFF"/>
                <w:sz w:val="18"/>
              </w:rPr>
              <w:t>Purpose</w:t>
            </w:r>
          </w:p>
        </w:tc>
      </w:tr>
      <w:tr>
        <w:trPr>
          <w:cantSplit/>
        </w:trPr>
        <w:tc>
          <w:tcPr>
            <w:tcW w:type="dxa" w:w="3600"/>
            <w:vAlign w:val="center"/>
            <w:shd w:fill="FFFFFF"/>
            <w:tcMar>
              <w:top w:w="85" w:type="dxa"/>
              <w:left w:w="85" w:type="dxa"/>
              <w:bottom w:w="85" w:type="dxa"/>
              <w:right w:w="85" w:type="dxa"/>
            </w:tcMar>
          </w:tcPr>
          <w:p>
            <w:pPr>
              <w:spacing w:after="40" w:line="252" w:lineRule="auto"/>
            </w:pPr>
            <w:r>
              <w:rPr>
                <w:b w:val="0"/>
                <w:color w:val="000000"/>
                <w:sz w:val="18"/>
              </w:rPr>
              <w:t>servicesetu/fet_payments.py</w:t>
            </w:r>
          </w:p>
        </w:tc>
        <w:tc>
          <w:tcPr>
            <w:tcW w:type="dxa" w:w="6552"/>
            <w:vAlign w:val="center"/>
            <w:shd w:fill="FFFFFF"/>
            <w:tcMar>
              <w:top w:w="85" w:type="dxa"/>
              <w:left w:w="85" w:type="dxa"/>
              <w:bottom w:w="85" w:type="dxa"/>
              <w:right w:w="85" w:type="dxa"/>
            </w:tcMar>
          </w:tcPr>
          <w:p>
            <w:pPr>
              <w:spacing w:after="40" w:line="252" w:lineRule="auto"/>
            </w:pPr>
            <w:r>
              <w:rPr>
                <w:b w:val="0"/>
                <w:color w:val="000000"/>
                <w:sz w:val="18"/>
              </w:rPr>
              <w:t>Dorado constants, exact integer amounts, native wallet validation, fet_direct request metadata and successful transfer checks.</w:t>
            </w:r>
          </w:p>
        </w:tc>
      </w:tr>
      <w:tr>
        <w:trPr>
          <w:cantSplit/>
        </w:trPr>
        <w:tc>
          <w:tcPr>
            <w:tcW w:type="dxa" w:w="3600"/>
            <w:vAlign w:val="center"/>
            <w:shd w:fill="F4F6F8"/>
            <w:tcMar>
              <w:top w:w="85" w:type="dxa"/>
              <w:left w:w="85" w:type="dxa"/>
              <w:bottom w:w="85" w:type="dxa"/>
              <w:right w:w="85" w:type="dxa"/>
            </w:tcMar>
          </w:tcPr>
          <w:p>
            <w:pPr>
              <w:spacing w:after="40" w:line="252" w:lineRule="auto"/>
            </w:pPr>
            <w:r>
              <w:rPr>
                <w:b w:val="0"/>
                <w:color w:val="000000"/>
                <w:sz w:val="18"/>
              </w:rPr>
              <w:t>servicesetu/fet_wallet.py</w:t>
            </w:r>
          </w:p>
        </w:tc>
        <w:tc>
          <w:tcPr>
            <w:tcW w:type="dxa" w:w="6552"/>
            <w:vAlign w:val="center"/>
            <w:shd w:fill="F4F6F8"/>
            <w:tcMar>
              <w:top w:w="85" w:type="dxa"/>
              <w:left w:w="85" w:type="dxa"/>
              <w:bottom w:w="85" w:type="dxa"/>
              <w:right w:w="85" w:type="dxa"/>
            </w:tcMar>
          </w:tcPr>
          <w:p>
            <w:pPr>
              <w:spacing w:after="40" w:line="252" w:lineRule="auto"/>
            </w:pPr>
            <w:r>
              <w:rPr>
                <w:b w:val="0"/>
                <w:color w:val="000000"/>
                <w:sz w:val="18"/>
              </w:rPr>
              <w:t>Displays the existing Concierge public fetch1 receiving wallet without printing its seed or key.</w:t>
            </w:r>
          </w:p>
        </w:tc>
      </w:tr>
      <w:tr>
        <w:trPr>
          <w:cantSplit/>
        </w:trPr>
        <w:tc>
          <w:tcPr>
            <w:tcW w:type="dxa" w:w="3600"/>
            <w:vAlign w:val="center"/>
            <w:shd w:fill="FFFFFF"/>
            <w:tcMar>
              <w:top w:w="85" w:type="dxa"/>
              <w:left w:w="85" w:type="dxa"/>
              <w:bottom w:w="85" w:type="dxa"/>
              <w:right w:w="85" w:type="dxa"/>
            </w:tcMar>
          </w:tcPr>
          <w:p>
            <w:pPr>
              <w:spacing w:after="40" w:line="252" w:lineRule="auto"/>
            </w:pPr>
            <w:r>
              <w:rPr>
                <w:b w:val="0"/>
                <w:color w:val="000000"/>
                <w:sz w:val="18"/>
              </w:rPr>
              <w:t>servicesetu/fet_refund.py</w:t>
            </w:r>
          </w:p>
        </w:tc>
        <w:tc>
          <w:tcPr>
            <w:tcW w:type="dxa" w:w="6552"/>
            <w:vAlign w:val="center"/>
            <w:shd w:fill="FFFFFF"/>
            <w:tcMar>
              <w:top w:w="85" w:type="dxa"/>
              <w:left w:w="85" w:type="dxa"/>
              <w:bottom w:w="85" w:type="dxa"/>
              <w:right w:w="85" w:type="dxa"/>
            </w:tcMar>
          </w:tcPr>
          <w:p>
            <w:pPr>
              <w:spacing w:after="40" w:line="252" w:lineRule="auto"/>
            </w:pPr>
            <w:r>
              <w:rPr>
                <w:b w:val="0"/>
                <w:color w:val="000000"/>
                <w:sz w:val="18"/>
              </w:rPr>
              <w:t>Operator command verifies a separately sent refund transaction; it does not send or sign one.</w:t>
            </w:r>
          </w:p>
        </w:tc>
      </w:tr>
      <w:tr>
        <w:trPr>
          <w:cantSplit/>
        </w:trPr>
        <w:tc>
          <w:tcPr>
            <w:tcW w:type="dxa" w:w="3600"/>
            <w:vAlign w:val="center"/>
            <w:shd w:fill="F4F6F8"/>
            <w:tcMar>
              <w:top w:w="85" w:type="dxa"/>
              <w:left w:w="85" w:type="dxa"/>
              <w:bottom w:w="85" w:type="dxa"/>
              <w:right w:w="85" w:type="dxa"/>
            </w:tcMar>
          </w:tcPr>
          <w:p>
            <w:pPr>
              <w:spacing w:after="40" w:line="252" w:lineRule="auto"/>
            </w:pPr>
            <w:r>
              <w:rPr>
                <w:b w:val="0"/>
                <w:color w:val="000000"/>
                <w:sz w:val="18"/>
              </w:rPr>
              <w:t>servicesetu/payments.py</w:t>
            </w:r>
          </w:p>
        </w:tc>
        <w:tc>
          <w:tcPr>
            <w:tcW w:type="dxa" w:w="6552"/>
            <w:vAlign w:val="center"/>
            <w:shd w:fill="F4F6F8"/>
            <w:tcMar>
              <w:top w:w="85" w:type="dxa"/>
              <w:left w:w="85" w:type="dxa"/>
              <w:bottom w:w="85" w:type="dxa"/>
              <w:right w:w="85" w:type="dxa"/>
            </w:tcMar>
          </w:tcPr>
          <w:p>
            <w:pPr>
              <w:spacing w:after="40" w:line="252" w:lineRule="auto"/>
            </w:pPr>
            <w:r>
              <w:rPr>
                <w:b w:val="0"/>
                <w:color w:val="000000"/>
                <w:sz w:val="18"/>
              </w:rPr>
              <w:t>FET rail, approved invoice, server verification, retry handling, replay refusal and refund reconciliation.</w:t>
            </w:r>
          </w:p>
        </w:tc>
      </w:tr>
      <w:tr>
        <w:trPr>
          <w:cantSplit/>
        </w:trPr>
        <w:tc>
          <w:tcPr>
            <w:tcW w:type="dxa" w:w="3600"/>
            <w:vAlign w:val="center"/>
            <w:shd w:fill="FFFFFF"/>
            <w:tcMar>
              <w:top w:w="85" w:type="dxa"/>
              <w:left w:w="85" w:type="dxa"/>
              <w:bottom w:w="85" w:type="dxa"/>
              <w:right w:w="85" w:type="dxa"/>
            </w:tcMar>
          </w:tcPr>
          <w:p>
            <w:pPr>
              <w:spacing w:after="40" w:line="252" w:lineRule="auto"/>
            </w:pPr>
            <w:r>
              <w:rPr>
                <w:b w:val="0"/>
                <w:color w:val="000000"/>
                <w:sz w:val="18"/>
              </w:rPr>
              <w:t>servicesetu/core.py</w:t>
            </w:r>
          </w:p>
        </w:tc>
        <w:tc>
          <w:tcPr>
            <w:tcW w:type="dxa" w:w="6552"/>
            <w:vAlign w:val="center"/>
            <w:shd w:fill="FFFFFF"/>
            <w:tcMar>
              <w:top w:w="85" w:type="dxa"/>
              <w:left w:w="85" w:type="dxa"/>
              <w:bottom w:w="85" w:type="dxa"/>
              <w:right w:w="85" w:type="dxa"/>
            </w:tcMar>
          </w:tcPr>
          <w:p>
            <w:pPr>
              <w:spacing w:after="40" w:line="252" w:lineRule="auto"/>
            </w:pPr>
            <w:r>
              <w:rPr>
                <w:b w:val="0"/>
                <w:color w:val="000000"/>
                <w:sz w:val="18"/>
              </w:rPr>
              <w:t>Invoice and payer/refund persistence, transaction uniqueness, invoice deadline and booking eligibility checks, audit events.</w:t>
            </w:r>
          </w:p>
        </w:tc>
      </w:tr>
      <w:tr>
        <w:trPr>
          <w:cantSplit/>
        </w:trPr>
        <w:tc>
          <w:tcPr>
            <w:tcW w:type="dxa" w:w="3600"/>
            <w:vAlign w:val="center"/>
            <w:shd w:fill="F4F6F8"/>
            <w:tcMar>
              <w:top w:w="85" w:type="dxa"/>
              <w:left w:w="85" w:type="dxa"/>
              <w:bottom w:w="85" w:type="dxa"/>
              <w:right w:w="85" w:type="dxa"/>
            </w:tcMar>
          </w:tcPr>
          <w:p>
            <w:pPr>
              <w:spacing w:after="40" w:line="252" w:lineRule="auto"/>
            </w:pPr>
            <w:r>
              <w:rPr>
                <w:b w:val="0"/>
                <w:color w:val="000000"/>
                <w:sz w:val="18"/>
              </w:rPr>
              <w:t>servicesetu/conversation.py</w:t>
            </w:r>
          </w:p>
        </w:tc>
        <w:tc>
          <w:tcPr>
            <w:tcW w:type="dxa" w:w="6552"/>
            <w:vAlign w:val="center"/>
            <w:shd w:fill="F4F6F8"/>
            <w:tcMar>
              <w:top w:w="85" w:type="dxa"/>
              <w:left w:w="85" w:type="dxa"/>
              <w:bottom w:w="85" w:type="dxa"/>
              <w:right w:w="85" w:type="dxa"/>
            </w:tcMar>
          </w:tcPr>
          <w:p>
            <w:pPr>
              <w:spacing w:after="40" w:line="252" w:lineRule="auto"/>
            </w:pPr>
            <w:r>
              <w:rPr>
                <w:b w:val="0"/>
                <w:color w:val="000000"/>
                <w:sz w:val="18"/>
              </w:rPr>
              <w:t>Shows exact FET amount before approval, binds reviewed terms and reuses the stored invoice on retry.</w:t>
            </w:r>
          </w:p>
        </w:tc>
      </w:tr>
      <w:tr>
        <w:trPr>
          <w:cantSplit/>
        </w:trPr>
        <w:tc>
          <w:tcPr>
            <w:tcW w:type="dxa" w:w="3600"/>
            <w:vAlign w:val="center"/>
            <w:shd w:fill="FFFFFF"/>
            <w:tcMar>
              <w:top w:w="85" w:type="dxa"/>
              <w:left w:w="85" w:type="dxa"/>
              <w:bottom w:w="85" w:type="dxa"/>
              <w:right w:w="85" w:type="dxa"/>
            </w:tcMar>
          </w:tcPr>
          <w:p>
            <w:pPr>
              <w:spacing w:after="40" w:line="252" w:lineRule="auto"/>
            </w:pPr>
            <w:r>
              <w:rPr>
                <w:b w:val="0"/>
                <w:color w:val="000000"/>
                <w:sz w:val="18"/>
              </w:rPr>
              <w:t>servicesetu/cards.py</w:t>
            </w:r>
          </w:p>
        </w:tc>
        <w:tc>
          <w:tcPr>
            <w:tcW w:type="dxa" w:w="6552"/>
            <w:vAlign w:val="center"/>
            <w:shd w:fill="FFFFFF"/>
            <w:tcMar>
              <w:top w:w="85" w:type="dxa"/>
              <w:left w:w="85" w:type="dxa"/>
              <w:bottom w:w="85" w:type="dxa"/>
              <w:right w:w="85" w:type="dxa"/>
            </w:tcMar>
          </w:tcPr>
          <w:p>
            <w:pPr>
              <w:spacing w:after="40" w:line="252" w:lineRule="auto"/>
            </w:pPr>
            <w:r>
              <w:rPr>
                <w:b w:val="0"/>
                <w:color w:val="000000"/>
                <w:sz w:val="18"/>
              </w:rPr>
              <w:t>FET review amount, no conversion wording, Dorado status and transfer/refund history labels.</w:t>
            </w:r>
          </w:p>
        </w:tc>
      </w:tr>
      <w:tr>
        <w:trPr>
          <w:cantSplit/>
        </w:trPr>
        <w:tc>
          <w:tcPr>
            <w:tcW w:type="dxa" w:w="3600"/>
            <w:vAlign w:val="center"/>
            <w:shd w:fill="F4F6F8"/>
            <w:tcMar>
              <w:top w:w="85" w:type="dxa"/>
              <w:left w:w="85" w:type="dxa"/>
              <w:bottom w:w="85" w:type="dxa"/>
              <w:right w:w="85" w:type="dxa"/>
            </w:tcMar>
          </w:tcPr>
          <w:p>
            <w:pPr>
              <w:spacing w:after="40" w:line="252" w:lineRule="auto"/>
            </w:pPr>
            <w:r>
              <w:rPr>
                <w:b w:val="0"/>
                <w:color w:val="000000"/>
                <w:sz w:val="18"/>
              </w:rPr>
              <w:t>servicesetu/mesh.py</w:t>
            </w:r>
          </w:p>
        </w:tc>
        <w:tc>
          <w:tcPr>
            <w:tcW w:type="dxa" w:w="6552"/>
            <w:vAlign w:val="center"/>
            <w:shd w:fill="F4F6F8"/>
            <w:tcMar>
              <w:top w:w="85" w:type="dxa"/>
              <w:left w:w="85" w:type="dxa"/>
              <w:bottom w:w="85" w:type="dxa"/>
              <w:right w:w="85" w:type="dxa"/>
            </w:tcMar>
          </w:tcPr>
          <w:p>
            <w:pPr>
              <w:spacing w:after="40" w:line="252" w:lineRule="auto"/>
            </w:pPr>
            <w:r>
              <w:rPr>
                <w:b w:val="0"/>
                <w:color w:val="000000"/>
                <w:sz w:val="18"/>
              </w:rPr>
              <w:t>Uses native fetch1 wallet recipient; routes RequestPayment and CommitPayment through the seller protocol.</w:t>
            </w:r>
          </w:p>
        </w:tc>
      </w:tr>
      <w:tr>
        <w:trPr>
          <w:cantSplit/>
        </w:trPr>
        <w:tc>
          <w:tcPr>
            <w:tcW w:type="dxa" w:w="3600"/>
            <w:vAlign w:val="center"/>
            <w:shd w:fill="FFFFFF"/>
            <w:tcMar>
              <w:top w:w="85" w:type="dxa"/>
              <w:left w:w="85" w:type="dxa"/>
              <w:bottom w:w="85" w:type="dxa"/>
              <w:right w:w="85" w:type="dxa"/>
            </w:tcMar>
          </w:tcPr>
          <w:p>
            <w:pPr>
              <w:spacing w:after="40" w:line="252" w:lineRule="auto"/>
            </w:pPr>
            <w:r>
              <w:rPr>
                <w:b w:val="0"/>
                <w:color w:val="000000"/>
                <w:sz w:val="18"/>
              </w:rPr>
              <w:t>servicesetu/service.py</w:t>
            </w:r>
          </w:p>
        </w:tc>
        <w:tc>
          <w:tcPr>
            <w:tcW w:type="dxa" w:w="6552"/>
            <w:vAlign w:val="center"/>
            <w:shd w:fill="FFFFFF"/>
            <w:tcMar>
              <w:top w:w="85" w:type="dxa"/>
              <w:left w:w="85" w:type="dxa"/>
              <w:bottom w:w="85" w:type="dxa"/>
              <w:right w:w="85" w:type="dxa"/>
            </w:tcMar>
          </w:tcPr>
          <w:p>
            <w:pPr>
              <w:spacing w:after="40" w:line="252" w:lineRule="auto"/>
            </w:pPr>
            <w:r>
              <w:rPr>
                <w:b w:val="0"/>
                <w:color w:val="000000"/>
                <w:sz w:val="18"/>
              </w:rPr>
              <w:t>Internal payment dispatch and approved payment terms.</w:t>
            </w:r>
          </w:p>
        </w:tc>
      </w:tr>
      <w:tr>
        <w:trPr>
          <w:cantSplit/>
        </w:trPr>
        <w:tc>
          <w:tcPr>
            <w:tcW w:type="dxa" w:w="3600"/>
            <w:vAlign w:val="center"/>
            <w:shd w:fill="F4F6F8"/>
            <w:tcMar>
              <w:top w:w="85" w:type="dxa"/>
              <w:left w:w="85" w:type="dxa"/>
              <w:bottom w:w="85" w:type="dxa"/>
              <w:right w:w="85" w:type="dxa"/>
            </w:tcMar>
          </w:tcPr>
          <w:p>
            <w:pPr>
              <w:spacing w:after="40" w:line="252" w:lineRule="auto"/>
            </w:pPr>
            <w:r>
              <w:rPr>
                <w:b w:val="0"/>
                <w:color w:val="000000"/>
                <w:sz w:val="18"/>
              </w:rPr>
              <w:t>tests/test_fet_payments.py</w:t>
            </w:r>
          </w:p>
        </w:tc>
        <w:tc>
          <w:tcPr>
            <w:tcW w:type="dxa" w:w="6552"/>
            <w:vAlign w:val="center"/>
            <w:shd w:fill="F4F6F8"/>
            <w:tcMar>
              <w:top w:w="85" w:type="dxa"/>
              <w:left w:w="85" w:type="dxa"/>
              <w:bottom w:w="85" w:type="dxa"/>
              <w:right w:w="85" w:type="dxa"/>
            </w:tcMar>
          </w:tcPr>
          <w:p>
            <w:pPr>
              <w:spacing w:after="40" w:line="252" w:lineRule="auto"/>
            </w:pPr>
            <w:r>
              <w:rPr>
                <w:b w:val="0"/>
                <w:color w:val="000000"/>
                <w:sz w:val="18"/>
              </w:rPr>
              <w:t>18 tests covering wrong transfers and networks, exact arithmetic, replay, ownership, retries, expiry and separate refunds.</w:t>
            </w:r>
          </w:p>
        </w:tc>
      </w:tr>
      <w:tr>
        <w:trPr>
          <w:cantSplit/>
        </w:trPr>
        <w:tc>
          <w:tcPr>
            <w:tcW w:type="dxa" w:w="3600"/>
            <w:vAlign w:val="center"/>
            <w:shd w:fill="FFFFFF"/>
            <w:tcMar>
              <w:top w:w="85" w:type="dxa"/>
              <w:left w:w="85" w:type="dxa"/>
              <w:bottom w:w="85" w:type="dxa"/>
              <w:right w:w="85" w:type="dxa"/>
            </w:tcMar>
          </w:tcPr>
          <w:p>
            <w:pPr>
              <w:spacing w:after="40" w:line="252" w:lineRule="auto"/>
            </w:pPr>
            <w:r>
              <w:rPr>
                <w:b w:val="0"/>
                <w:color w:val="000000"/>
                <w:sz w:val="18"/>
              </w:rPr>
              <w:t>tests/test_intake.py</w:t>
            </w:r>
          </w:p>
        </w:tc>
        <w:tc>
          <w:tcPr>
            <w:tcW w:type="dxa" w:w="6552"/>
            <w:vAlign w:val="center"/>
            <w:shd w:fill="FFFFFF"/>
            <w:tcMar>
              <w:top w:w="85" w:type="dxa"/>
              <w:left w:w="85" w:type="dxa"/>
              <w:bottom w:w="85" w:type="dxa"/>
              <w:right w:w="85" w:type="dxa"/>
            </w:tcMar>
          </w:tcPr>
          <w:p>
            <w:pPr>
              <w:spacing w:after="40" w:line="252" w:lineRule="auto"/>
            </w:pPr>
            <w:r>
              <w:rPr>
                <w:b w:val="0"/>
                <w:color w:val="000000"/>
                <w:sz w:val="18"/>
              </w:rPr>
              <w:t>Legacy payment migration fixture uses explicit columns.</w:t>
            </w:r>
          </w:p>
        </w:tc>
      </w:tr>
      <w:tr>
        <w:trPr>
          <w:cantSplit/>
        </w:trPr>
        <w:tc>
          <w:tcPr>
            <w:tcW w:type="dxa" w:w="3600"/>
            <w:vAlign w:val="center"/>
            <w:shd w:fill="F4F6F8"/>
            <w:tcMar>
              <w:top w:w="85" w:type="dxa"/>
              <w:left w:w="85" w:type="dxa"/>
              <w:bottom w:w="85" w:type="dxa"/>
              <w:right w:w="85" w:type="dxa"/>
            </w:tcMar>
          </w:tcPr>
          <w:p>
            <w:pPr>
              <w:spacing w:after="40" w:line="252" w:lineRule="auto"/>
            </w:pPr>
            <w:r>
              <w:rPr>
                <w:b w:val="0"/>
                <w:color w:val="000000"/>
                <w:sz w:val="18"/>
              </w:rPr>
              <w:t>.env.example</w:t>
            </w:r>
          </w:p>
        </w:tc>
        <w:tc>
          <w:tcPr>
            <w:tcW w:type="dxa" w:w="6552"/>
            <w:vAlign w:val="center"/>
            <w:shd w:fill="F4F6F8"/>
            <w:tcMar>
              <w:top w:w="85" w:type="dxa"/>
              <w:left w:w="85" w:type="dxa"/>
              <w:bottom w:w="85" w:type="dxa"/>
              <w:right w:w="85" w:type="dxa"/>
            </w:tcMar>
          </w:tcPr>
          <w:p>
            <w:pPr>
              <w:spacing w:after="40" w:line="252" w:lineRule="auto"/>
            </w:pPr>
            <w:r>
              <w:rPr>
                <w:b w:val="0"/>
                <w:color w:val="000000"/>
                <w:sz w:val="18"/>
              </w:rPr>
              <w:t>Dorado test amount, network, testnet switch and deadline variable names.</w:t>
            </w:r>
          </w:p>
        </w:tc>
      </w:tr>
      <w:tr>
        <w:trPr>
          <w:cantSplit/>
        </w:trPr>
        <w:tc>
          <w:tcPr>
            <w:tcW w:type="dxa" w:w="3600"/>
            <w:vAlign w:val="center"/>
            <w:shd w:fill="FFFFFF"/>
            <w:tcMar>
              <w:top w:w="85" w:type="dxa"/>
              <w:left w:w="85" w:type="dxa"/>
              <w:bottom w:w="85" w:type="dxa"/>
              <w:right w:w="85" w:type="dxa"/>
            </w:tcMar>
          </w:tcPr>
          <w:p>
            <w:pPr>
              <w:spacing w:after="40" w:line="252" w:lineRule="auto"/>
            </w:pPr>
            <w:r>
              <w:rPr>
                <w:b w:val="0"/>
                <w:color w:val="000000"/>
                <w:sz w:val="18"/>
              </w:rPr>
              <w:t>README.md</w:t>
            </w:r>
          </w:p>
        </w:tc>
        <w:tc>
          <w:tcPr>
            <w:tcW w:type="dxa" w:w="6552"/>
            <w:vAlign w:val="center"/>
            <w:shd w:fill="FFFFFF"/>
            <w:tcMar>
              <w:top w:w="85" w:type="dxa"/>
              <w:left w:w="85" w:type="dxa"/>
              <w:bottom w:w="85" w:type="dxa"/>
              <w:right w:w="85" w:type="dxa"/>
            </w:tcMar>
          </w:tcPr>
          <w:p>
            <w:pPr>
              <w:spacing w:after="40" w:line="252" w:lineRule="auto"/>
            </w:pPr>
            <w:r>
              <w:rPr>
                <w:b w:val="0"/>
                <w:color w:val="000000"/>
                <w:sz w:val="18"/>
              </w:rPr>
              <w:t>Native wallet, faucet, FET setup and verification limitations.</w:t>
            </w:r>
          </w:p>
        </w:tc>
      </w:tr>
      <w:tr>
        <w:trPr>
          <w:cantSplit/>
        </w:trPr>
        <w:tc>
          <w:tcPr>
            <w:tcW w:type="dxa" w:w="3600"/>
            <w:vAlign w:val="center"/>
            <w:shd w:fill="F4F6F8"/>
            <w:tcMar>
              <w:top w:w="85" w:type="dxa"/>
              <w:left w:w="85" w:type="dxa"/>
              <w:bottom w:w="85" w:type="dxa"/>
              <w:right w:w="85" w:type="dxa"/>
            </w:tcMar>
          </w:tcPr>
          <w:p>
            <w:pPr>
              <w:spacing w:after="40" w:line="252" w:lineRule="auto"/>
            </w:pPr>
            <w:r>
              <w:rPr>
                <w:b w:val="0"/>
                <w:color w:val="000000"/>
                <w:sz w:val="18"/>
              </w:rPr>
              <w:t>docs/demo-pilot-runbook.md</w:t>
            </w:r>
          </w:p>
        </w:tc>
        <w:tc>
          <w:tcPr>
            <w:tcW w:type="dxa" w:w="6552"/>
            <w:vAlign w:val="center"/>
            <w:shd w:fill="F4F6F8"/>
            <w:tcMar>
              <w:top w:w="85" w:type="dxa"/>
              <w:left w:w="85" w:type="dxa"/>
              <w:bottom w:w="85" w:type="dxa"/>
              <w:right w:w="85" w:type="dxa"/>
            </w:tcMar>
          </w:tcPr>
          <w:p>
            <w:pPr>
              <w:spacing w:after="40" w:line="252" w:lineRule="auto"/>
            </w:pPr>
            <w:r>
              <w:rPr>
                <w:b w:val="0"/>
                <w:color w:val="000000"/>
                <w:sz w:val="18"/>
              </w:rPr>
              <w:t>Exact demonstration and operator steps with test payment distinctions.</w:t>
            </w:r>
          </w:p>
        </w:tc>
      </w:tr>
      <w:tr>
        <w:trPr>
          <w:cantSplit/>
        </w:trPr>
        <w:tc>
          <w:tcPr>
            <w:tcW w:type="dxa" w:w="3600"/>
            <w:vAlign w:val="center"/>
            <w:shd w:fill="FFFFFF"/>
            <w:tcMar>
              <w:top w:w="85" w:type="dxa"/>
              <w:left w:w="85" w:type="dxa"/>
              <w:bottom w:w="85" w:type="dxa"/>
              <w:right w:w="85" w:type="dxa"/>
            </w:tcMar>
          </w:tcPr>
          <w:p>
            <w:pPr>
              <w:spacing w:after="40" w:line="252" w:lineRule="auto"/>
            </w:pPr>
            <w:r>
              <w:rPr>
                <w:b w:val="0"/>
                <w:color w:val="000000"/>
                <w:sz w:val="18"/>
              </w:rPr>
              <w:t>docs/submission.md</w:t>
            </w:r>
          </w:p>
        </w:tc>
        <w:tc>
          <w:tcPr>
            <w:tcW w:type="dxa" w:w="6552"/>
            <w:vAlign w:val="center"/>
            <w:shd w:fill="FFFFFF"/>
            <w:tcMar>
              <w:top w:w="85" w:type="dxa"/>
              <w:left w:w="85" w:type="dxa"/>
              <w:bottom w:w="85" w:type="dxa"/>
              <w:right w:w="85" w:type="dxa"/>
            </w:tcMar>
          </w:tcPr>
          <w:p>
            <w:pPr>
              <w:spacing w:after="40" w:line="252" w:lineRule="auto"/>
            </w:pPr>
            <w:r>
              <w:rPr>
                <w:b w:val="0"/>
                <w:color w:val="000000"/>
                <w:sz w:val="18"/>
              </w:rPr>
              <w:t>Local evidence and unverified FET client/payment checks.</w:t>
            </w:r>
          </w:p>
        </w:tc>
      </w:tr>
      <w:tr>
        <w:trPr>
          <w:cantSplit/>
        </w:trPr>
        <w:tc>
          <w:tcPr>
            <w:tcW w:type="dxa" w:w="3600"/>
            <w:vAlign w:val="center"/>
            <w:shd w:fill="F4F6F8"/>
            <w:tcMar>
              <w:top w:w="85" w:type="dxa"/>
              <w:left w:w="85" w:type="dxa"/>
              <w:bottom w:w="85" w:type="dxa"/>
              <w:right w:w="85" w:type="dxa"/>
            </w:tcMar>
          </w:tcPr>
          <w:p>
            <w:pPr>
              <w:spacing w:after="40" w:line="252" w:lineRule="auto"/>
            </w:pPr>
            <w:r>
              <w:rPr>
                <w:b w:val="0"/>
                <w:color w:val="000000"/>
                <w:sz w:val="18"/>
              </w:rPr>
              <w:t>docs/agents/concierge.md</w:t>
            </w:r>
          </w:p>
        </w:tc>
        <w:tc>
          <w:tcPr>
            <w:tcW w:type="dxa" w:w="6552"/>
            <w:vAlign w:val="center"/>
            <w:shd w:fill="F4F6F8"/>
            <w:tcMar>
              <w:top w:w="85" w:type="dxa"/>
              <w:left w:w="85" w:type="dxa"/>
              <w:bottom w:w="85" w:type="dxa"/>
              <w:right w:w="85" w:type="dxa"/>
            </w:tcMar>
          </w:tcPr>
          <w:p>
            <w:pPr>
              <w:spacing w:after="40" w:line="252" w:lineRule="auto"/>
            </w:pPr>
            <w:r>
              <w:rPr>
                <w:b w:val="0"/>
                <w:color w:val="000000"/>
                <w:sz w:val="18"/>
              </w:rPr>
              <w:t>Customer profile describes supported test payment modes.</w:t>
            </w:r>
          </w:p>
        </w:tc>
      </w:tr>
      <w:tr>
        <w:trPr>
          <w:cantSplit/>
        </w:trPr>
        <w:tc>
          <w:tcPr>
            <w:tcW w:type="dxa" w:w="3600"/>
            <w:vAlign w:val="center"/>
            <w:shd w:fill="FFFFFF"/>
            <w:tcMar>
              <w:top w:w="85" w:type="dxa"/>
              <w:left w:w="85" w:type="dxa"/>
              <w:bottom w:w="85" w:type="dxa"/>
              <w:right w:w="85" w:type="dxa"/>
            </w:tcMar>
          </w:tcPr>
          <w:p>
            <w:pPr>
              <w:spacing w:after="40" w:line="252" w:lineRule="auto"/>
            </w:pPr>
            <w:r>
              <w:rPr>
                <w:b w:val="0"/>
                <w:color w:val="000000"/>
                <w:sz w:val="18"/>
              </w:rPr>
              <w:t>docs/agents/payment.md</w:t>
            </w:r>
          </w:p>
        </w:tc>
        <w:tc>
          <w:tcPr>
            <w:tcW w:type="dxa" w:w="6552"/>
            <w:vAlign w:val="center"/>
            <w:shd w:fill="FFFFFF"/>
            <w:tcMar>
              <w:top w:w="85" w:type="dxa"/>
              <w:left w:w="85" w:type="dxa"/>
              <w:bottom w:w="85" w:type="dxa"/>
              <w:right w:w="85" w:type="dxa"/>
            </w:tcMar>
          </w:tcPr>
          <w:p>
            <w:pPr>
              <w:spacing w:after="40" w:line="252" w:lineRule="auto"/>
            </w:pPr>
            <w:r>
              <w:rPr>
                <w:b w:val="0"/>
                <w:color w:val="000000"/>
                <w:sz w:val="18"/>
              </w:rPr>
              <w:t>Internal role describes invoice verification and refund boundaries.</w:t>
            </w:r>
          </w:p>
        </w:tc>
      </w:tr>
    </w:tbl>
    <w:p/>
    <w:p>
      <w:r>
        <w:t>The final review also fixed independent invoice expiry, exact arithmetic under altered Decimal precision, and equivalent hash/amount retries. Agent messaging identities, existing seeds, registration configuration and prior payment modes were preserved.</w:t>
      </w:r>
    </w:p>
    <w:p>
      <w:pPr>
        <w:pStyle w:val="Heading1"/>
        <w:pageBreakBefore/>
      </w:pPr>
      <w:r>
        <w:t>Backend setup and external checks</w:t>
      </w:r>
    </w:p>
    <w:p>
      <w:r>
        <w:t>Use the existing private configuration. Install the extras and run exactly one mailbox mesh for these identities. Do not overwrite the existing .env or regenerate the seed.</w:t>
      </w:r>
    </w:p>
    <w:p>
      <w:pPr>
        <w:keepNext w:val="0"/>
        <w:spacing w:after="40" w:line="240" w:lineRule="auto"/>
      </w:pPr>
      <w:r>
        <w:rPr>
          <w:rFonts w:ascii="Courier New" w:hAnsi="Courier New"/>
          <w:sz w:val="16"/>
        </w:rPr>
        <w:t>uv pip install --python .venv/bin/python -e '.[fetch,communications,external]'</w:t>
      </w:r>
    </w:p>
    <w:p>
      <w:pPr>
        <w:keepNext w:val="0"/>
        <w:spacing w:after="40" w:line="240" w:lineRule="auto"/>
      </w:pPr>
      <w:r>
        <w:rPr>
          <w:rFonts w:ascii="Courier New" w:hAnsi="Courier New"/>
          <w:sz w:val="16"/>
        </w:rPr>
        <w:t>GOOGLE_PLACES_API_KEY= \</w:t>
      </w:r>
    </w:p>
    <w:p>
      <w:pPr>
        <w:keepNext w:val="0"/>
        <w:spacing w:after="40" w:line="240" w:lineRule="auto"/>
      </w:pPr>
      <w:r>
        <w:rPr>
          <w:rFonts w:ascii="Courier New" w:hAnsi="Courier New"/>
          <w:sz w:val="16"/>
        </w:rPr>
        <w:t>SERVICESETU_DB=data/showcase-readiness-20261023.db \</w:t>
      </w:r>
    </w:p>
    <w:p>
      <w:pPr>
        <w:keepNext w:val="0"/>
        <w:spacing w:after="40" w:line="240" w:lineRule="auto"/>
      </w:pPr>
      <w:r>
        <w:rPr>
          <w:rFonts w:ascii="Courier New" w:hAnsi="Courier New"/>
          <w:sz w:val="16"/>
        </w:rPr>
        <w:t>SERVICESETU_MAILBOX=true PAYMENT_MODE=mock \</w:t>
      </w:r>
    </w:p>
    <w:p>
      <w:pPr>
        <w:keepNext w:val="0"/>
        <w:spacing w:after="140" w:line="240" w:lineRule="auto"/>
      </w:pPr>
      <w:r>
        <w:rPr>
          <w:rFonts w:ascii="Courier New" w:hAnsi="Courier New"/>
          <w:sz w:val="16"/>
        </w:rPr>
        <w:t xml:space="preserve">  .venv/bin/python -m servicesetu mesh</w:t>
      </w:r>
    </w:p>
    <w:p>
      <w:r>
        <w:t>This demo database already exists; do not reseed it or launch a second mesh. The empty Google key disables Google calls. Preserve private configuration and the existing seed.</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600"/>
        <w:gridCol w:w="6552"/>
      </w:tblGrid>
      <w:tr>
        <w:trPr>
          <w:tblHeader/>
        </w:trPr>
        <w:tc>
          <w:tcPr>
            <w:tcW w:type="dxa" w:w="5112"/>
            <w:vAlign w:val="center"/>
            <w:shd w:fill="333333"/>
            <w:tcMar>
              <w:top w:w="85" w:type="dxa"/>
              <w:left w:w="85" w:type="dxa"/>
              <w:bottom w:w="85" w:type="dxa"/>
              <w:right w:w="85" w:type="dxa"/>
            </w:tcMar>
          </w:tcPr>
          <w:p>
            <w:pPr>
              <w:spacing w:after="40" w:line="252" w:lineRule="auto"/>
            </w:pPr>
            <w:r>
              <w:rPr>
                <w:b/>
                <w:color w:val="FFFFFF"/>
                <w:sz w:val="18"/>
              </w:rPr>
              <w:t>Configuration name</w:t>
            </w:r>
          </w:p>
        </w:tc>
        <w:tc>
          <w:tcPr>
            <w:tcW w:type="dxa" w:w="5112"/>
            <w:vAlign w:val="center"/>
            <w:shd w:fill="333333"/>
            <w:tcMar>
              <w:top w:w="85" w:type="dxa"/>
              <w:left w:w="85" w:type="dxa"/>
              <w:bottom w:w="85" w:type="dxa"/>
              <w:right w:w="85" w:type="dxa"/>
            </w:tcMar>
          </w:tcPr>
          <w:p>
            <w:pPr>
              <w:spacing w:after="40" w:line="252" w:lineRule="auto"/>
            </w:pPr>
            <w:r>
              <w:rPr>
                <w:b/>
                <w:color w:val="FFFFFF"/>
                <w:sz w:val="18"/>
              </w:rPr>
              <w:t>Use</w:t>
            </w:r>
          </w:p>
        </w:tc>
      </w:tr>
      <w:tr>
        <w:trPr>
          <w:cantSplit/>
        </w:trPr>
        <w:tc>
          <w:tcPr>
            <w:tcW w:type="dxa" w:w="3600"/>
            <w:vAlign w:val="center"/>
            <w:shd w:fill="FFFFFF"/>
            <w:tcMar>
              <w:top w:w="85" w:type="dxa"/>
              <w:left w:w="85" w:type="dxa"/>
              <w:bottom w:w="85" w:type="dxa"/>
              <w:right w:w="85" w:type="dxa"/>
            </w:tcMar>
          </w:tcPr>
          <w:p>
            <w:pPr>
              <w:spacing w:after="40" w:line="252" w:lineRule="auto"/>
            </w:pPr>
            <w:r>
              <w:rPr>
                <w:b w:val="0"/>
                <w:color w:val="000000"/>
                <w:sz w:val="18"/>
              </w:rPr>
              <w:t>TOMTOM_API_KEY</w:t>
            </w:r>
          </w:p>
        </w:tc>
        <w:tc>
          <w:tcPr>
            <w:tcW w:type="dxa" w:w="6552"/>
            <w:vAlign w:val="center"/>
            <w:shd w:fill="FFFFFF"/>
            <w:tcMar>
              <w:top w:w="85" w:type="dxa"/>
              <w:left w:w="85" w:type="dxa"/>
              <w:bottom w:w="85" w:type="dxa"/>
              <w:right w:w="85" w:type="dxa"/>
            </w:tcMar>
          </w:tcPr>
          <w:p>
            <w:pPr>
              <w:spacing w:after="40" w:line="252" w:lineRule="auto"/>
            </w:pPr>
            <w:r>
              <w:rPr>
                <w:b w:val="0"/>
                <w:color w:val="000000"/>
                <w:sz w:val="18"/>
              </w:rPr>
              <w:t>Private key sent only in the documented tomtom-api-key header to TomTom.</w:t>
            </w:r>
          </w:p>
        </w:tc>
      </w:tr>
      <w:tr>
        <w:trPr>
          <w:cantSplit/>
        </w:trPr>
        <w:tc>
          <w:tcPr>
            <w:tcW w:type="dxa" w:w="3600"/>
            <w:vAlign w:val="center"/>
            <w:shd w:fill="F4F6F8"/>
            <w:tcMar>
              <w:top w:w="85" w:type="dxa"/>
              <w:left w:w="85" w:type="dxa"/>
              <w:bottom w:w="85" w:type="dxa"/>
              <w:right w:w="85" w:type="dxa"/>
            </w:tcMar>
          </w:tcPr>
          <w:p>
            <w:pPr>
              <w:spacing w:after="40" w:line="252" w:lineRule="auto"/>
            </w:pPr>
            <w:r>
              <w:rPr>
                <w:b w:val="0"/>
                <w:color w:val="000000"/>
                <w:sz w:val="18"/>
              </w:rPr>
              <w:t>SERVICESETU_SEED</w:t>
            </w:r>
          </w:p>
        </w:tc>
        <w:tc>
          <w:tcPr>
            <w:tcW w:type="dxa" w:w="6552"/>
            <w:vAlign w:val="center"/>
            <w:shd w:fill="F4F6F8"/>
            <w:tcMar>
              <w:top w:w="85" w:type="dxa"/>
              <w:left w:w="85" w:type="dxa"/>
              <w:bottom w:w="85" w:type="dxa"/>
              <w:right w:w="85" w:type="dxa"/>
            </w:tcMar>
          </w:tcPr>
          <w:p>
            <w:pPr>
              <w:spacing w:after="40" w:line="252" w:lineRule="auto"/>
            </w:pPr>
            <w:r>
              <w:rPr>
                <w:b w:val="0"/>
                <w:color w:val="000000"/>
                <w:sz w:val="18"/>
              </w:rPr>
              <w:t>Existing private identity seed; retain exactly. Never place a customer wallet phrase here.</w:t>
            </w:r>
          </w:p>
        </w:tc>
      </w:tr>
      <w:tr>
        <w:trPr>
          <w:cantSplit/>
        </w:trPr>
        <w:tc>
          <w:tcPr>
            <w:tcW w:type="dxa" w:w="3600"/>
            <w:vAlign w:val="center"/>
            <w:shd w:fill="FFFFFF"/>
            <w:tcMar>
              <w:top w:w="85" w:type="dxa"/>
              <w:left w:w="85" w:type="dxa"/>
              <w:bottom w:w="85" w:type="dxa"/>
              <w:right w:w="85" w:type="dxa"/>
            </w:tcMar>
          </w:tcPr>
          <w:p>
            <w:pPr>
              <w:spacing w:after="40" w:line="252" w:lineRule="auto"/>
            </w:pPr>
            <w:r>
              <w:rPr>
                <w:b w:val="0"/>
                <w:color w:val="000000"/>
                <w:sz w:val="18"/>
              </w:rPr>
              <w:t>AGENTVERSE_API_KEY and ASI1_API_KEY</w:t>
            </w:r>
          </w:p>
        </w:tc>
        <w:tc>
          <w:tcPr>
            <w:tcW w:type="dxa" w:w="6552"/>
            <w:vAlign w:val="center"/>
            <w:shd w:fill="FFFFFF"/>
            <w:tcMar>
              <w:top w:w="85" w:type="dxa"/>
              <w:left w:w="85" w:type="dxa"/>
              <w:bottom w:w="85" w:type="dxa"/>
              <w:right w:w="85" w:type="dxa"/>
            </w:tcMar>
          </w:tcPr>
          <w:p>
            <w:pPr>
              <w:spacing w:after="40" w:line="252" w:lineRule="auto"/>
            </w:pPr>
            <w:r>
              <w:rPr>
                <w:b w:val="0"/>
                <w:color w:val="000000"/>
                <w:sz w:val="18"/>
              </w:rPr>
              <w:t>Existing private registration/mailbox and reasoning access; preserve them.</w:t>
            </w:r>
          </w:p>
        </w:tc>
      </w:tr>
      <w:tr>
        <w:trPr>
          <w:cantSplit/>
        </w:trPr>
        <w:tc>
          <w:tcPr>
            <w:tcW w:type="dxa" w:w="3600"/>
            <w:vAlign w:val="center"/>
            <w:shd w:fill="F4F6F8"/>
            <w:tcMar>
              <w:top w:w="85" w:type="dxa"/>
              <w:left w:w="85" w:type="dxa"/>
              <w:bottom w:w="85" w:type="dxa"/>
              <w:right w:w="85" w:type="dxa"/>
            </w:tcMar>
          </w:tcPr>
          <w:p>
            <w:pPr>
              <w:spacing w:after="40" w:line="252" w:lineRule="auto"/>
            </w:pPr>
            <w:r>
              <w:rPr>
                <w:b w:val="0"/>
                <w:color w:val="000000"/>
                <w:sz w:val="18"/>
              </w:rPr>
              <w:t>SERVICESETU_DB</w:t>
            </w:r>
          </w:p>
        </w:tc>
        <w:tc>
          <w:tcPr>
            <w:tcW w:type="dxa" w:w="6552"/>
            <w:vAlign w:val="center"/>
            <w:shd w:fill="F4F6F8"/>
            <w:tcMar>
              <w:top w:w="85" w:type="dxa"/>
              <w:left w:w="85" w:type="dxa"/>
              <w:bottom w:w="85" w:type="dxa"/>
              <w:right w:w="85" w:type="dxa"/>
            </w:tcMar>
          </w:tcPr>
          <w:p>
            <w:pPr>
              <w:spacing w:after="40" w:line="252" w:lineRule="auto"/>
            </w:pPr>
            <w:r>
              <w:rPr>
                <w:b w:val="0"/>
                <w:color w:val="000000"/>
                <w:sz w:val="18"/>
              </w:rPr>
              <w:t>Existing database. Use a new named demo database only when deliberately starting a separate synthetic demo.</w:t>
            </w:r>
          </w:p>
        </w:tc>
      </w:tr>
      <w:tr>
        <w:trPr>
          <w:cantSplit/>
        </w:trPr>
        <w:tc>
          <w:tcPr>
            <w:tcW w:type="dxa" w:w="3600"/>
            <w:vAlign w:val="center"/>
            <w:shd w:fill="FFFFFF"/>
            <w:tcMar>
              <w:top w:w="85" w:type="dxa"/>
              <w:left w:w="85" w:type="dxa"/>
              <w:bottom w:w="85" w:type="dxa"/>
              <w:right w:w="85" w:type="dxa"/>
            </w:tcMar>
          </w:tcPr>
          <w:p>
            <w:pPr>
              <w:spacing w:after="40" w:line="252" w:lineRule="auto"/>
            </w:pPr>
            <w:r>
              <w:rPr>
                <w:b w:val="0"/>
                <w:color w:val="000000"/>
                <w:sz w:val="18"/>
              </w:rPr>
              <w:t>SERVICESETU_MAILBOX and PAYMENT_MODE</w:t>
            </w:r>
          </w:p>
        </w:tc>
        <w:tc>
          <w:tcPr>
            <w:tcW w:type="dxa" w:w="6552"/>
            <w:vAlign w:val="center"/>
            <w:shd w:fill="FFFFFF"/>
            <w:tcMar>
              <w:top w:w="85" w:type="dxa"/>
              <w:left w:w="85" w:type="dxa"/>
              <w:bottom w:w="85" w:type="dxa"/>
              <w:right w:w="85" w:type="dxa"/>
            </w:tcMar>
          </w:tcPr>
          <w:p>
            <w:pPr>
              <w:spacing w:after="40" w:line="252" w:lineRule="auto"/>
            </w:pPr>
            <w:r>
              <w:rPr>
                <w:b w:val="0"/>
                <w:color w:val="000000"/>
                <w:sz w:val="18"/>
              </w:rPr>
              <w:t>Set mailbox true for ASI One. Use mock for the established in-chat demonstration.</w:t>
            </w:r>
          </w:p>
        </w:tc>
      </w:tr>
    </w:tbl>
    <w:p/>
    <w:p>
      <w:r>
        <w:t>TomTom endpoint: https://mcp.tomtom.com/maps?apps=false</w:t>
        <w:br/>
        <w:t>Taskrabbit endpoint: https://mcp.taskrabbit.com/mcp</w:t>
      </w:r>
    </w:p>
    <w:p>
      <w:r>
        <w:t>Enable TomTom MCP Server access and the documented underlying API permissions. The quick setup lists Map Display, Routing, Search, Geocoding, Reverse Geocoding and Traffic. Taskrabbit anonymously exposed the three supported tools; no Taskrabbit key variable is required today.</w:t>
      </w:r>
    </w:p>
    <w:p>
      <w:pPr>
        <w:pStyle w:val="Heading2"/>
      </w:pPr>
      <w:r>
        <w:t>Reproduce read only live checks</w:t>
      </w:r>
    </w:p>
    <w:p>
      <w:pPr>
        <w:keepNext w:val="0"/>
        <w:spacing w:after="40" w:line="240" w:lineRule="auto"/>
      </w:pPr>
      <w:r>
        <w:rPr>
          <w:rFonts w:ascii="Courier New" w:hAnsi="Courier New"/>
          <w:sz w:val="16"/>
        </w:rPr>
        <w:t>.venv/bin/python -m servicesetu.mcp_check taskrabbit tools</w:t>
      </w:r>
    </w:p>
    <w:p>
      <w:pPr>
        <w:keepNext w:val="0"/>
        <w:spacing w:after="40" w:line="240" w:lineRule="auto"/>
      </w:pPr>
      <w:r>
        <w:rPr>
          <w:rFonts w:ascii="Courier New" w:hAnsi="Courier New"/>
          <w:sz w:val="16"/>
        </w:rPr>
        <w:t>.venv/bin/python -m servicesetu.mcp_check taskrabbit services --country US --postal 10001</w:t>
      </w:r>
    </w:p>
    <w:p>
      <w:pPr>
        <w:keepNext w:val="0"/>
        <w:spacing w:after="40" w:line="240" w:lineRule="auto"/>
      </w:pPr>
      <w:r>
        <w:rPr>
          <w:rFonts w:ascii="Courier New" w:hAnsi="Courier New"/>
          <w:sz w:val="16"/>
        </w:rPr>
        <w:t>.venv/bin/python -m servicesetu.mcp_check taskrabbit availability --country US --postal 10001 \</w:t>
      </w:r>
    </w:p>
    <w:p>
      <w:pPr>
        <w:keepNext w:val="0"/>
        <w:spacing w:after="40" w:line="240" w:lineRule="auto"/>
      </w:pPr>
      <w:r>
        <w:rPr>
          <w:rFonts w:ascii="Courier New" w:hAnsi="Courier New"/>
          <w:sz w:val="16"/>
        </w:rPr>
        <w:t xml:space="preserve">  --service 'furniture assembly'</w:t>
      </w:r>
    </w:p>
    <w:p>
      <w:pPr>
        <w:keepNext w:val="0"/>
        <w:spacing w:after="40" w:line="240" w:lineRule="auto"/>
      </w:pPr>
      <w:r>
        <w:rPr>
          <w:rFonts w:ascii="Courier New" w:hAnsi="Courier New"/>
          <w:sz w:val="16"/>
        </w:rPr>
        <w:t>.venv/bin/python -m servicesetu.mcp_check tomtom tools</w:t>
      </w:r>
    </w:p>
    <w:p>
      <w:pPr>
        <w:keepNext w:val="0"/>
        <w:spacing w:after="40" w:line="240" w:lineRule="auto"/>
      </w:pPr>
      <w:r>
        <w:rPr>
          <w:rFonts w:ascii="Courier New" w:hAnsi="Courier New"/>
          <w:sz w:val="16"/>
        </w:rPr>
        <w:t>.venv/bin/python -m servicesetu.mcp_check tomtom geocode \</w:t>
      </w:r>
    </w:p>
    <w:p>
      <w:pPr>
        <w:keepNext w:val="0"/>
        <w:spacing w:after="40" w:line="240" w:lineRule="auto"/>
      </w:pPr>
      <w:r>
        <w:rPr>
          <w:rFonts w:ascii="Courier New" w:hAnsi="Courier New"/>
          <w:sz w:val="16"/>
        </w:rPr>
        <w:t xml:space="preserve">  --location 'Mandi, Himachal Pradesh, India'</w:t>
      </w:r>
    </w:p>
    <w:p>
      <w:pPr>
        <w:keepNext w:val="0"/>
        <w:spacing w:after="40" w:line="240" w:lineRule="auto"/>
      </w:pPr>
      <w:r>
        <w:rPr>
          <w:rFonts w:ascii="Courier New" w:hAnsi="Courier New"/>
          <w:sz w:val="16"/>
        </w:rPr>
        <w:t>.venv/bin/python -m servicesetu.mcp_check tomtom search --service plumbers \</w:t>
      </w:r>
    </w:p>
    <w:p>
      <w:pPr>
        <w:keepNext w:val="0"/>
        <w:spacing w:after="40" w:line="240" w:lineRule="auto"/>
      </w:pPr>
      <w:r>
        <w:rPr>
          <w:rFonts w:ascii="Courier New" w:hAnsi="Courier New"/>
          <w:sz w:val="16"/>
        </w:rPr>
        <w:t xml:space="preserve">  --location 'Mandi, Himachal Pradesh, India'</w:t>
      </w:r>
    </w:p>
    <w:p>
      <w:pPr>
        <w:keepNext w:val="0"/>
        <w:spacing w:after="40" w:line="240" w:lineRule="auto"/>
      </w:pPr>
      <w:r>
        <w:rPr>
          <w:rFonts w:ascii="Courier New" w:hAnsi="Courier New"/>
          <w:sz w:val="16"/>
        </w:rPr>
        <w:t>.venv/bin/python -m servicesetu.mcp_check tomtom search --service 'repair shops' \</w:t>
      </w:r>
    </w:p>
    <w:p>
      <w:pPr>
        <w:keepNext w:val="0"/>
        <w:spacing w:after="140" w:line="240" w:lineRule="auto"/>
      </w:pPr>
      <w:r>
        <w:rPr>
          <w:rFonts w:ascii="Courier New" w:hAnsi="Courier New"/>
          <w:sz w:val="16"/>
        </w:rPr>
        <w:t xml:space="preserve">  --location 'Indiranagar, Bengaluru, India'</w:t>
      </w:r>
    </w:p>
    <w:p>
      <w:pPr>
        <w:pStyle w:val="Heading2"/>
      </w:pPr>
      <w:r>
        <w:t>Allowances and attribution</w:t>
      </w:r>
    </w:p>
    <w:p>
      <w:r>
        <w:t>Monthly TomTom allowances: Geocoding 20,000; Routing 20,000; legacy Search 2,500; Places Discover 5,000; Suggest 10,000; Details 5,000. Underlying API limits apply; confirm the account plan before a pilot.</w:t>
      </w:r>
    </w:p>
    <w:p>
      <w:r>
        <w:t>Cards credit Location data © TomTom. Map rendering requires its own logo and copyright treatment. See docs/external-mcp.md for terms, source attribution and limits.</w:t>
      </w:r>
    </w:p>
    <w:p>
      <w:pPr>
        <w:pStyle w:val="Heading1"/>
        <w:pageBreakBefore/>
      </w:pPr>
      <w:r>
        <w:t>Payment configuration and wallet setup</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600"/>
        <w:gridCol w:w="6552"/>
      </w:tblGrid>
      <w:tr>
        <w:trPr>
          <w:tblHeader/>
        </w:trPr>
        <w:tc>
          <w:tcPr>
            <w:tcW w:type="dxa" w:w="5112"/>
            <w:vAlign w:val="center"/>
            <w:shd w:fill="333333"/>
            <w:tcMar>
              <w:top w:w="85" w:type="dxa"/>
              <w:left w:w="85" w:type="dxa"/>
              <w:bottom w:w="85" w:type="dxa"/>
              <w:right w:w="85" w:type="dxa"/>
            </w:tcMar>
          </w:tcPr>
          <w:p>
            <w:pPr>
              <w:spacing w:after="40" w:line="252" w:lineRule="auto"/>
            </w:pPr>
            <w:r>
              <w:rPr>
                <w:b/>
                <w:color w:val="FFFFFF"/>
                <w:sz w:val="18"/>
              </w:rPr>
              <w:t>Payment mode</w:t>
            </w:r>
          </w:p>
        </w:tc>
        <w:tc>
          <w:tcPr>
            <w:tcW w:type="dxa" w:w="5112"/>
            <w:vAlign w:val="center"/>
            <w:shd w:fill="333333"/>
            <w:tcMar>
              <w:top w:w="85" w:type="dxa"/>
              <w:left w:w="85" w:type="dxa"/>
              <w:bottom w:w="85" w:type="dxa"/>
              <w:right w:w="85" w:type="dxa"/>
            </w:tcMar>
          </w:tcPr>
          <w:p>
            <w:pPr>
              <w:spacing w:after="40" w:line="252" w:lineRule="auto"/>
            </w:pPr>
            <w:r>
              <w:rPr>
                <w:b/>
                <w:color w:val="FFFFFF"/>
                <w:sz w:val="18"/>
              </w:rPr>
              <w:t>Behavior and verified limits</w:t>
            </w:r>
          </w:p>
        </w:tc>
      </w:tr>
      <w:tr>
        <w:trPr>
          <w:cantSplit/>
        </w:trPr>
        <w:tc>
          <w:tcPr>
            <w:tcW w:type="dxa" w:w="3600"/>
            <w:vAlign w:val="center"/>
            <w:shd w:fill="FFFFFF"/>
            <w:tcMar>
              <w:top w:w="85" w:type="dxa"/>
              <w:left w:w="85" w:type="dxa"/>
              <w:bottom w:w="85" w:type="dxa"/>
              <w:right w:w="85" w:type="dxa"/>
            </w:tcMar>
          </w:tcPr>
          <w:p>
            <w:pPr>
              <w:spacing w:after="40" w:line="252" w:lineRule="auto"/>
            </w:pPr>
            <w:r>
              <w:rPr>
                <w:b w:val="0"/>
                <w:color w:val="000000"/>
                <w:sz w:val="18"/>
              </w:rPr>
              <w:t>mock</w:t>
            </w:r>
          </w:p>
        </w:tc>
        <w:tc>
          <w:tcPr>
            <w:tcW w:type="dxa" w:w="6552"/>
            <w:vAlign w:val="center"/>
            <w:shd w:fill="FFFFFF"/>
            <w:tcMar>
              <w:top w:w="85" w:type="dxa"/>
              <w:left w:w="85" w:type="dxa"/>
              <w:bottom w:w="85" w:type="dxa"/>
              <w:right w:w="85" w:type="dxa"/>
            </w:tcMar>
          </w:tcPr>
          <w:p>
            <w:pPr>
              <w:spacing w:after="40" w:line="252" w:lineRule="auto"/>
            </w:pPr>
            <w:r>
              <w:rPr>
                <w:b w:val="0"/>
                <w:color w:val="000000"/>
                <w:sz w:val="18"/>
              </w:rPr>
              <w:t>Simulated in-chat confirmation. No gateway charge. Current showcase runtime uses this mode.</w:t>
            </w:r>
          </w:p>
        </w:tc>
      </w:tr>
      <w:tr>
        <w:trPr>
          <w:cantSplit/>
        </w:trPr>
        <w:tc>
          <w:tcPr>
            <w:tcW w:type="dxa" w:w="3600"/>
            <w:vAlign w:val="center"/>
            <w:shd w:fill="F4F6F8"/>
            <w:tcMar>
              <w:top w:w="85" w:type="dxa"/>
              <w:left w:w="85" w:type="dxa"/>
              <w:bottom w:w="85" w:type="dxa"/>
              <w:right w:w="85" w:type="dxa"/>
            </w:tcMar>
          </w:tcPr>
          <w:p>
            <w:pPr>
              <w:spacing w:after="40" w:line="252" w:lineRule="auto"/>
            </w:pPr>
            <w:r>
              <w:rPr>
                <w:b w:val="0"/>
                <w:color w:val="000000"/>
                <w:sz w:val="18"/>
              </w:rPr>
              <w:t>stripe_test</w:t>
            </w:r>
          </w:p>
        </w:tc>
        <w:tc>
          <w:tcPr>
            <w:tcW w:type="dxa" w:w="6552"/>
            <w:vAlign w:val="center"/>
            <w:shd w:fill="F4F6F8"/>
            <w:tcMar>
              <w:top w:w="85" w:type="dxa"/>
              <w:left w:w="85" w:type="dxa"/>
              <w:bottom w:w="85" w:type="dxa"/>
              <w:right w:w="85" w:type="dxa"/>
            </w:tcMar>
          </w:tcPr>
          <w:p>
            <w:pPr>
              <w:spacing w:after="40" w:line="252" w:lineRule="auto"/>
            </w:pPr>
            <w:r>
              <w:rPr>
                <w:b w:val="0"/>
                <w:color w:val="000000"/>
                <w:sz w:val="18"/>
              </w:rPr>
              <w:t>Existing embedded Stripe TEST flow. Keys and actual client checkout remain separately unverified.</w:t>
            </w:r>
          </w:p>
        </w:tc>
      </w:tr>
      <w:tr>
        <w:trPr>
          <w:cantSplit/>
        </w:trPr>
        <w:tc>
          <w:tcPr>
            <w:tcW w:type="dxa" w:w="3600"/>
            <w:vAlign w:val="center"/>
            <w:shd w:fill="FFFFFF"/>
            <w:tcMar>
              <w:top w:w="85" w:type="dxa"/>
              <w:left w:w="85" w:type="dxa"/>
              <w:bottom w:w="85" w:type="dxa"/>
              <w:right w:w="85" w:type="dxa"/>
            </w:tcMar>
          </w:tcPr>
          <w:p>
            <w:pPr>
              <w:spacing w:after="40" w:line="252" w:lineRule="auto"/>
            </w:pPr>
            <w:r>
              <w:rPr>
                <w:b w:val="0"/>
                <w:color w:val="000000"/>
                <w:sz w:val="18"/>
              </w:rPr>
              <w:t>razorpay_test</w:t>
            </w:r>
          </w:p>
        </w:tc>
        <w:tc>
          <w:tcPr>
            <w:tcW w:type="dxa" w:w="6552"/>
            <w:vAlign w:val="center"/>
            <w:shd w:fill="FFFFFF"/>
            <w:tcMar>
              <w:top w:w="85" w:type="dxa"/>
              <w:left w:w="85" w:type="dxa"/>
              <w:bottom w:w="85" w:type="dxa"/>
              <w:right w:w="85" w:type="dxa"/>
            </w:tcMar>
          </w:tcPr>
          <w:p>
            <w:pPr>
              <w:spacing w:after="40" w:line="252" w:lineRule="auto"/>
            </w:pPr>
            <w:r>
              <w:rPr>
                <w:b w:val="0"/>
                <w:color w:val="000000"/>
                <w:sz w:val="18"/>
              </w:rPr>
              <w:t>Existing external Razorpay TEST hosted checkout; return to chat and check payment. Not an all-in-chat primary workflow.</w:t>
            </w:r>
          </w:p>
        </w:tc>
      </w:tr>
      <w:tr>
        <w:trPr>
          <w:cantSplit/>
        </w:trPr>
        <w:tc>
          <w:tcPr>
            <w:tcW w:type="dxa" w:w="3600"/>
            <w:vAlign w:val="center"/>
            <w:shd w:fill="F4F6F8"/>
            <w:tcMar>
              <w:top w:w="85" w:type="dxa"/>
              <w:left w:w="85" w:type="dxa"/>
              <w:bottom w:w="85" w:type="dxa"/>
              <w:right w:w="85" w:type="dxa"/>
            </w:tcMar>
          </w:tcPr>
          <w:p>
            <w:pPr>
              <w:spacing w:after="40" w:line="252" w:lineRule="auto"/>
            </w:pPr>
            <w:r>
              <w:rPr>
                <w:b w:val="0"/>
                <w:color w:val="000000"/>
                <w:sz w:val="18"/>
              </w:rPr>
              <w:t>fet_testnet</w:t>
            </w:r>
          </w:p>
        </w:tc>
        <w:tc>
          <w:tcPr>
            <w:tcW w:type="dxa" w:w="6552"/>
            <w:vAlign w:val="center"/>
            <w:shd w:fill="F4F6F8"/>
            <w:tcMar>
              <w:top w:w="85" w:type="dxa"/>
              <w:left w:w="85" w:type="dxa"/>
              <w:bottom w:w="85" w:type="dxa"/>
              <w:right w:w="85" w:type="dxa"/>
            </w:tcMar>
          </w:tcPr>
          <w:p>
            <w:pPr>
              <w:spacing w:after="40" w:line="252" w:lineRule="auto"/>
            </w:pPr>
            <w:r>
              <w:rPr>
                <w:b w:val="0"/>
                <w:color w:val="000000"/>
                <w:sz w:val="18"/>
              </w:rPr>
              <w:t>Native fet_direct protocol, Dorado only. Local ledger tests passed; no live wallet transfer or FET card acceptance was completed.</w:t>
            </w:r>
          </w:p>
        </w:tc>
      </w:tr>
    </w:tbl>
    <w:p/>
    <w:p>
      <w:r>
        <w:t>Gateway variable names are STRIPE_SECRET_KEY, STRIPE_PUBLISHABLE_KEY, legacy STRIPE_RETURN_URL, RAZORPAY_KEY_ID and RAZORPAY_KEY_SECRET. Keep values private and use test credentials only. No gateway transaction or refund is claimed.</w:t>
      </w:r>
    </w:p>
    <w:p>
      <w:pPr>
        <w:pStyle w:val="Heading2"/>
      </w:pPr>
      <w:r>
        <w:t>Dorado settings</w:t>
      </w:r>
    </w:p>
    <w:p>
      <w:pPr>
        <w:keepNext w:val="0"/>
        <w:spacing w:after="40" w:line="240" w:lineRule="auto"/>
      </w:pPr>
      <w:r>
        <w:rPr>
          <w:rFonts w:ascii="Courier New" w:hAnsi="Courier New"/>
          <w:sz w:val="16"/>
        </w:rPr>
        <w:t>PAYMENT_MODE=fet_testnet</w:t>
      </w:r>
    </w:p>
    <w:p>
      <w:pPr>
        <w:keepNext w:val="0"/>
        <w:spacing w:after="40" w:line="240" w:lineRule="auto"/>
      </w:pPr>
      <w:r>
        <w:rPr>
          <w:rFonts w:ascii="Courier New" w:hAnsi="Courier New"/>
          <w:sz w:val="16"/>
        </w:rPr>
        <w:t>FET_NETWORK=dorado-1</w:t>
      </w:r>
    </w:p>
    <w:p>
      <w:pPr>
        <w:keepNext w:val="0"/>
        <w:spacing w:after="40" w:line="240" w:lineRule="auto"/>
      </w:pPr>
      <w:r>
        <w:rPr>
          <w:rFonts w:ascii="Courier New" w:hAnsi="Courier New"/>
          <w:sz w:val="16"/>
        </w:rPr>
        <w:t>FET_USE_TESTNET=true</w:t>
      </w:r>
    </w:p>
    <w:p>
      <w:pPr>
        <w:keepNext w:val="0"/>
        <w:spacing w:after="40" w:line="240" w:lineRule="auto"/>
      </w:pPr>
      <w:r>
        <w:rPr>
          <w:rFonts w:ascii="Courier New" w:hAnsi="Courier New"/>
          <w:sz w:val="16"/>
        </w:rPr>
        <w:t>FET_TEST_AMOUNT=0.1</w:t>
      </w:r>
    </w:p>
    <w:p>
      <w:pPr>
        <w:keepNext w:val="0"/>
        <w:spacing w:after="140" w:line="240" w:lineRule="auto"/>
      </w:pPr>
      <w:r>
        <w:rPr>
          <w:rFonts w:ascii="Courier New" w:hAnsi="Courier New"/>
          <w:sz w:val="16"/>
        </w:rPr>
        <w:t>FET_PAYMENT_DEADLINE_SECONDS=300</w:t>
      </w:r>
    </w:p>
    <w:p>
      <w:r>
        <w:t>These are nonsecret example settings. The invoice window is also bounded by the booking hold; a shorter invoice deadline is enforced even when the hold remains active. The exact token amount is offered separately, without any INR conversion. One FET has 10^18 atestfet units on Dorado.</w:t>
      </w:r>
    </w:p>
    <w:p>
      <w:pPr>
        <w:keepNext w:val="0"/>
        <w:spacing w:after="140" w:line="240" w:lineRule="auto"/>
      </w:pPr>
      <w:r>
        <w:rPr>
          <w:rFonts w:ascii="Courier New" w:hAnsi="Courier New"/>
          <w:sz w:val="16"/>
        </w:rPr>
        <w:t>.venv/bin/python -m servicesetu.fet_wallet</w:t>
      </w:r>
    </w:p>
    <w:p>
      <w:r>
        <w:t>This prints the existing seller public fetch1 receive address. The agent1 address is for messaging. A customer needs a separate native Fetch wallet configured for Dorado and funded with test tokens for the amount plus network fees. An unlocked Sepolia MetaMask account is not evidence that this native wallet step is ready. Never enter a customer recovery phrase or private key into ServiceSetu, prompts or logs.</w:t>
      </w:r>
    </w:p>
    <w:p>
      <w:pPr>
        <w:keepNext w:val="0"/>
        <w:spacing w:after="40" w:line="240" w:lineRule="auto"/>
      </w:pPr>
      <w:r>
        <w:rPr>
          <w:rFonts w:ascii="Courier New" w:hAnsi="Courier New"/>
          <w:sz w:val="16"/>
        </w:rPr>
        <w:t>curl -X POST -H 'Content-Type: application/json' \</w:t>
      </w:r>
    </w:p>
    <w:p>
      <w:pPr>
        <w:keepNext w:val="0"/>
        <w:spacing w:after="40" w:line="240" w:lineRule="auto"/>
      </w:pPr>
      <w:r>
        <w:rPr>
          <w:rFonts w:ascii="Courier New" w:hAnsi="Courier New"/>
          <w:sz w:val="16"/>
        </w:rPr>
        <w:t xml:space="preserve">  -d '{"address":"&lt;customer-fetch1-address&gt;"}' \</w:t>
      </w:r>
    </w:p>
    <w:p>
      <w:pPr>
        <w:keepNext w:val="0"/>
        <w:spacing w:after="140" w:line="240" w:lineRule="auto"/>
      </w:pPr>
      <w:r>
        <w:rPr>
          <w:rFonts w:ascii="Courier New" w:hAnsi="Courier New"/>
          <w:sz w:val="16"/>
        </w:rPr>
        <w:t xml:space="preserve">  https://faucet-dorado.fetch.ai/api/v3/claims</w:t>
      </w:r>
    </w:p>
    <w:p>
      <w:r>
        <w:t>Only after approval does the application request payment. It queries Dorado to verify successful execution, exact sender, recipient, denomination and amount against the stored invoice. A transaction hash alone does not confirm. Late or ineligible transfers require refund handling; transaction reuse across bookings is blocked.</w:t>
      </w:r>
    </w:p>
    <w:p>
      <w:pPr>
        <w:pStyle w:val="Heading2"/>
      </w:pPr>
      <w:r>
        <w:t>Refunds are separate transfers</w:t>
      </w:r>
    </w:p>
    <w:p>
      <w:r>
        <w:t>Cancellation never counts as a completed FET refund. An operator must arrange a separate testnet transfer back to the recorded paying wallet, then verify its transaction with:</w:t>
      </w:r>
    </w:p>
    <w:p>
      <w:pPr>
        <w:keepNext w:val="0"/>
        <w:spacing w:after="140" w:line="240" w:lineRule="auto"/>
      </w:pPr>
      <w:r>
        <w:rPr>
          <w:rFonts w:ascii="Courier New" w:hAnsi="Courier New"/>
          <w:sz w:val="16"/>
        </w:rPr>
        <w:t>.venv/bin/python -m servicesetu.fet_refund BOOKING_ID DORADO_REFUND_TX_HASH</w:t>
      </w:r>
    </w:p>
    <w:p>
      <w:r>
        <w:t>This command verifies an already sent transfer. It does not sign or transmit a refund. Replacement bookings require a fresh quote, fresh customer approval and a separate payment.</w:t>
      </w:r>
    </w:p>
    <w:p>
      <w:pPr>
        <w:pStyle w:val="Heading1"/>
        <w:pageBreakBefore/>
      </w:pPr>
      <w:r>
        <w:t>Exact showcase sequence</w:t>
      </w:r>
    </w:p>
    <w:p>
      <w:pPr>
        <w:pStyle w:val="Heading2"/>
      </w:pPr>
      <w:r>
        <w:t>Primary customer journey inside ASI One</w:t>
      </w:r>
    </w:p>
    <w:p>
      <w:r>
        <w:t>Use the existing ServiceSetu Concierge profile and the same conversation for all booking actions. Select @servicesetu as recipient. Keep PAYMENT_MODE=mock for this demonstrated path.</w:t>
      </w:r>
    </w:p>
    <w:p>
      <w:pPr>
        <w:pStyle w:val="ListBullet"/>
      </w:pPr>
      <w:r>
        <w:t>Send AC service in Indiranagar Bengaluru tomorrow 10am under INR 1000. Supply any missing details.</w:t>
      </w:r>
    </w:p>
    <w:p>
      <w:pPr>
        <w:pStyle w:val="ListBullet"/>
      </w:pPr>
      <w:r>
        <w:t>Compare eligible providers. Choose Review quote or option 1. Add only a synthetic address or Skip for now.</w:t>
      </w:r>
    </w:p>
    <w:p>
      <w:pPr>
        <w:pStyle w:val="ListBullet"/>
      </w:pPr>
      <w:r>
        <w:t>Review the exact scope, exclusions, INR total, appointment and hold deadline. Explicitly approve the current quote. If expired, request a fresh quote and approval; do not relax expiry protections.</w:t>
      </w:r>
    </w:p>
    <w:p>
      <w:pPr>
        <w:pStyle w:val="ListBullet"/>
      </w:pPr>
      <w:r>
        <w:t>Observe the clearly labelled simulated payment and confirmed booking. Send status if a result notice is missed.</w:t>
      </w:r>
    </w:p>
    <w:p>
      <w:pPr>
        <w:pStyle w:val="ListBullet"/>
      </w:pPr>
      <w:r>
        <w:t>Record the current booking ID and assigned provider from the operator view. Trigger that provider cancellation with the command below.</w:t>
      </w:r>
    </w:p>
    <w:p>
      <w:pPr>
        <w:pStyle w:val="ListBullet"/>
      </w:pPr>
      <w:r>
        <w:t>Observe the cancellation notice, simulated reversal status and eligible replacement options within the original service, location, time and budget.</w:t>
      </w:r>
    </w:p>
    <w:p>
      <w:pPr>
        <w:pStyle w:val="ListBullet"/>
      </w:pPr>
      <w:r>
        <w:t>Review and explicitly approve the new replacement quote. Observe replacement confirmation; the original consent never authorizes it.</w:t>
      </w:r>
    </w:p>
    <w:p>
      <w:pPr>
        <w:pStyle w:val="ListBullet"/>
      </w:pPr>
      <w:r>
        <w:t>Send show what happened and audit details. History should explain both quotes, approvals, test payments, cancellation and replacement.</w:t>
      </w:r>
    </w:p>
    <w:p>
      <w:pPr>
        <w:keepNext w:val="0"/>
        <w:spacing w:after="140" w:line="240" w:lineRule="auto"/>
      </w:pPr>
      <w:r>
        <w:rPr>
          <w:rFonts w:ascii="Courier New" w:hAnsi="Courier New"/>
          <w:sz w:val="16"/>
        </w:rPr>
        <w:t>.venv/bin/python scripts/cancel_provider.py ASSIGNED_PROVIDER_ID BOOKING_ID</w:t>
      </w:r>
    </w:p>
    <w:p>
      <w:r>
        <w:t>Use the actual assigned provider ID, such as p1, not an invented ID. The helper reads DEMO_CONTROL_TOKEN privately. To start fresh dated appointments in a separate file:</w:t>
      </w:r>
    </w:p>
    <w:p>
      <w:pPr>
        <w:keepNext w:val="0"/>
        <w:spacing w:after="140" w:line="240" w:lineRule="auto"/>
      </w:pPr>
      <w:r>
        <w:rPr>
          <w:rFonts w:ascii="Courier New" w:hAnsi="Courier New"/>
          <w:sz w:val="16"/>
        </w:rPr>
        <w:t>.venv/bin/python -m servicesetu seed-demo --db data/showcase-new.db --days 3</w:t>
      </w:r>
    </w:p>
    <w:p>
      <w:r>
        <w:t>Point SERVICESETU_DB at that new file only for the separate demo; existing files are refused and existing bookings are preserved.</w:t>
      </w:r>
    </w:p>
    <w:p>
      <w:pPr>
        <w:pStyle w:val="Heading2"/>
      </w:pPr>
      <w:r>
        <w:t>External assistance demonstration</w:t>
      </w:r>
    </w:p>
    <w:p>
      <w:pPr>
        <w:pStyle w:val="ListBullet"/>
      </w:pPr>
      <w:r>
        <w:t>Send Taskrabbit plumber in Mandi, Himachal Pradesh. Show the India refusal and TomTom discovery suggestion. No overseas city is substituted.</w:t>
      </w:r>
    </w:p>
    <w:p>
      <w:pPr>
        <w:pStyle w:val="ListBullet"/>
      </w:pPr>
      <w:r>
        <w:t>For an explicitly separate US test: Taskrabbit furniture assembly in US 10001. Show the returned USD hourly average and qualification, external suggestion cards, scoping forms and final draft review.</w:t>
      </w:r>
    </w:p>
    <w:p>
      <w:pPr>
        <w:pStyle w:val="ListBullet"/>
      </w:pPr>
      <w:r>
        <w:t>Stop before Create draft and continue on Taskrabbit during a read-only showcase. A customer choosing it creates an external draft link; booking/payment finish on Taskrabbit and are not ServiceSetu confirmation.</w:t>
      </w:r>
    </w:p>
    <w:p>
      <w:pPr>
        <w:pStyle w:val="ListBullet"/>
      </w:pPr>
      <w:r>
        <w:t>TomTom plumbers in Mandi, Himachal Pradesh and repair shops in Indiranagar, Bengaluru returned live India-filtered results. ASI:One rendered the Mandi businesses as discovered, not onboarded or verified, with TomTom attribution. Do not substitute demo providers as map results.</w:t>
      </w:r>
    </w:p>
    <w:p>
      <w:r>
        <w:t>Messages, completion and problem reports remain available in ServiceSetu status cards. Try message provider: Synthetic access note, show messages, complete service, and report a problem: Synthetic operator follow-up. Completion and cancellation change booking state; use a separate synthetic booking when necessary.</w:t>
      </w:r>
    </w:p>
    <w:p>
      <w:pPr>
        <w:pStyle w:val="Heading1"/>
        <w:pageBreakBefore/>
      </w:pPr>
      <w:r>
        <w:t>Live evidence and remaining responsibilities</w:t>
      </w:r>
    </w:p>
    <w:p>
      <w:pPr>
        <w:pStyle w:val="Heading2"/>
      </w:pPr>
      <w:r>
        <w:t>Observed in the authenticated ASI One client</w:t>
      </w:r>
    </w:p>
    <w:p>
      <w:pPr>
        <w:pStyle w:val="ListBullet"/>
      </w:pPr>
      <w:r>
        <w:t>The Taskrabbit India refusal rendered, with a clear local-discovery alternative and no overseas substitution.</w:t>
      </w:r>
    </w:p>
    <w:p>
      <w:pPr>
        <w:pStyle w:val="ListBullet"/>
      </w:pPr>
      <w:r>
        <w:t>The explicit US test rendered marketplace cards and USD 59.00/hour as an indicative average, not a fixed quote.</w:t>
      </w:r>
    </w:p>
    <w:p>
      <w:pPr>
        <w:pStyle w:val="ListBullet"/>
      </w:pPr>
      <w:r>
        <w:t>Both live returned scoping forms were submitted with synthetic details and Small size. The final draft review rendered with the resolved US location and explicit external handoff action.</w:t>
      </w:r>
    </w:p>
    <w:p>
      <w:pPr>
        <w:pStyle w:val="ListBullet"/>
      </w:pPr>
      <w:r>
        <w:t>The final draft action was not clicked. A separate read-only database count found one Taskrabbit session and zero linked ServiceSetu bookings or payments.</w:t>
      </w:r>
    </w:p>
    <w:p>
      <w:pPr>
        <w:pStyle w:val="ListBullet"/>
      </w:pPr>
      <w:r>
        <w:t>After the operator configured TOMTOM_API_KEY privately and restarted the mock Concierge, the signed-in ASI:One chat rendered four Mandi plumber discoveries with Location data © TomTom and explicit not-onboarded/not-verified labels. This was discovery only; no booking or payment was created.</w:t>
      </w:r>
    </w:p>
    <w:p>
      <w:r>
        <w:t>Backend checks separately discovered all three Taskrabbit schemas, listed 53 services for US ZIP 10001, and returned availability with two scoping questions. These results do not prove a generated link, actual reservation or payment. Local evidence summaries stay under ignored artifacts/local; no private chat link or customer data is included here.</w:t>
      </w:r>
    </w:p>
    <w:p>
      <w:pPr>
        <w:pStyle w:val="Heading2"/>
      </w:pPr>
      <w:r>
        <w:t>Unfinished live checks</w:t>
      </w:r>
    </w:p>
    <w:p>
      <w:pPr>
        <w:pStyle w:val="ListBullet"/>
      </w:pPr>
      <w:r>
        <w:t>TomTom: live tool discovery, Mandi geocoding (4 results), Mandi plumber search (4), Bengaluru repair-shop search (5), and the Mandi ASI:One discovery card passed. A Mandi route attempt was blocked because its named endpoints were ambiguous; retry only with specific unambiguous public locations. India coverage and these small checks do not prove listing completeness or business availability.</w:t>
      </w:r>
    </w:p>
    <w:p>
      <w:pPr>
        <w:pStyle w:val="ListBullet"/>
      </w:pPr>
      <w:r>
        <w:t>Taskrabbit: real draft-link creation and external checkout were not attempted. Current MCP schemas support US assistance only; India remains unavailable.</w:t>
      </w:r>
    </w:p>
    <w:p>
      <w:pPr>
        <w:pStyle w:val="ListBullet"/>
      </w:pPr>
      <w:r>
        <w:t>Google Places: optional adapter and 23 mocked tests are implemented. No Google key, live query or billing setup was used. Live rendering, required attribution/policies and result coverage remain unverified. Say implemented and tested locally in the video.</w:t>
      </w:r>
    </w:p>
    <w:p>
      <w:pPr>
        <w:pStyle w:val="ListBullet"/>
      </w:pPr>
      <w:r>
        <w:t>FET: native Dorado wallet funding, live ASI One payment-card rendering, customer signing, on-chain confirmation and separate refund verification remain unperformed. No on-chain transaction is claimed.</w:t>
      </w:r>
    </w:p>
    <w:p>
      <w:pPr>
        <w:pStyle w:val="ListBullet"/>
      </w:pPr>
      <w:r>
        <w:t>Stripe and Razorpay: actual test authentication/checkout/refunds remain separately unverified. Razorpay is an external hosted checkout. The owner will record the video; no video was created by this task. A public shared chat and independent access check remain required.</w:t>
      </w:r>
    </w:p>
    <w:p>
      <w:pPr>
        <w:pStyle w:val="Heading2"/>
      </w:pPr>
      <w:r>
        <w:t>Provider and operator actions</w:t>
      </w:r>
    </w:p>
    <w:p>
      <w:r>
        <w:t>Obtain a willing local plumber or repair shop agreement before a pilot. Enter the actual permitted services, prices, scope, coverage and slots in the operator pilot configuration using the existing provider identity. Record exactly which manual checks were performed; do not copy fictional verification badges. No provider has joined through this work.</w:t>
      </w:r>
    </w:p>
    <w:p>
      <w:r>
        <w:t>The operator confirms each appointment with the business and records acceptance. The customer approves separately. Keep a private pilot database, supervise provider inbox access, record completion or booking-linked problems, acknowledge reports and arrange follow-up. A one-business pilot may have no eligible replacement. Do not offer a fictional provider to a real pilot customer.</w:t>
      </w:r>
    </w:p>
    <w:p>
      <w:pPr>
        <w:pStyle w:val="Heading1"/>
        <w:pageBreakBefore/>
      </w:pPr>
      <w:r>
        <w:t>Verification and operator commands</w:t>
      </w:r>
    </w:p>
    <w:p>
      <w:pPr>
        <w:pStyle w:val="Heading2"/>
      </w:pPr>
      <w:r>
        <w:t>Reproduce local checks</w:t>
      </w:r>
    </w:p>
    <w:p>
      <w:r>
        <w:t>Run these from the checkout after installing the fetch, communications and external extras. The core-only command deliberately does not run the catalogue mesh proof.</w:t>
      </w:r>
    </w:p>
    <w:p>
      <w:pPr>
        <w:keepNext w:val="0"/>
        <w:spacing w:after="40" w:line="240" w:lineRule="auto"/>
      </w:pPr>
      <w:r>
        <w:rPr>
          <w:rFonts w:ascii="Courier New" w:hAnsi="Courier New"/>
          <w:sz w:val="16"/>
        </w:rPr>
        <w:t>.venv/bin/python -m servicesetu prove --core-only</w:t>
      </w:r>
    </w:p>
    <w:p>
      <w:pPr>
        <w:keepNext w:val="0"/>
        <w:spacing w:after="40" w:line="240" w:lineRule="auto"/>
      </w:pPr>
      <w:r>
        <w:rPr>
          <w:rFonts w:ascii="Courier New" w:hAnsi="Courier New"/>
          <w:sz w:val="16"/>
        </w:rPr>
        <w:t>.venv/bin/python -m unittest tests.test_external_mcp -q</w:t>
      </w:r>
    </w:p>
    <w:p>
      <w:pPr>
        <w:keepNext w:val="0"/>
        <w:spacing w:after="140" w:line="240" w:lineRule="auto"/>
      </w:pPr>
      <w:r>
        <w:rPr>
          <w:rFonts w:ascii="Courier New" w:hAnsi="Courier New"/>
          <w:sz w:val="16"/>
        </w:rPr>
        <w:t>.venv/bin/python -m unittest tests.test_fet_payments -q</w:t>
      </w:r>
    </w:p>
    <w:p>
      <w:r>
        <w:t>A successful bounded AC mesh smoke used this exact offline command. Payment remains simulated, Almanac version lookups are stubbed, and local uAgent envelopes and handlers are real. This does not prove ASI One rendering or a blockchain payment. The latest command is also recorded in docs/showcase-readiness.md.</w:t>
      </w:r>
    </w:p>
    <w:p>
      <w:pPr>
        <w:keepNext w:val="0"/>
        <w:spacing w:after="40" w:line="240" w:lineRule="auto"/>
      </w:pPr>
      <w:r>
        <w:rPr>
          <w:rFonts w:ascii="Courier New" w:hAnsi="Courier New"/>
          <w:sz w:val="16"/>
        </w:rPr>
        <w:t>.venv/bin/python - &lt;&lt;'PY'</w:t>
      </w:r>
    </w:p>
    <w:p>
      <w:pPr>
        <w:keepNext w:val="0"/>
        <w:spacing w:after="40" w:line="240" w:lineRule="auto"/>
      </w:pPr>
      <w:r>
        <w:rPr>
          <w:rFonts w:ascii="Courier New" w:hAnsi="Courier New"/>
          <w:sz w:val="16"/>
        </w:rPr>
        <w:t>import asyncio, signal</w:t>
      </w:r>
    </w:p>
    <w:p>
      <w:pPr>
        <w:keepNext w:val="0"/>
        <w:spacing w:after="40" w:line="240" w:lineRule="auto"/>
      </w:pPr>
      <w:r>
        <w:rPr>
          <w:rFonts w:ascii="Courier New" w:hAnsi="Courier New"/>
          <w:sz w:val="16"/>
        </w:rPr>
        <w:t>from unittest.mock import patch</w:t>
      </w:r>
    </w:p>
    <w:p>
      <w:pPr>
        <w:keepNext w:val="0"/>
        <w:spacing w:after="40" w:line="240" w:lineRule="auto"/>
      </w:pPr>
      <w:r>
        <w:rPr>
          <w:rFonts w:ascii="Courier New" w:hAnsi="Courier New"/>
          <w:sz w:val="16"/>
        </w:rPr>
        <w:t>from servicesetu.mesh_smoke import smoke</w:t>
      </w:r>
    </w:p>
    <w:p>
      <w:pPr>
        <w:keepNext w:val="0"/>
        <w:spacing w:after="40" w:line="240" w:lineRule="auto"/>
      </w:pPr>
      <w:r>
        <w:rPr>
          <w:rFonts w:ascii="Courier New" w:hAnsi="Courier New"/>
          <w:sz w:val="16"/>
        </w:rPr>
        <w:t>signal.alarm(120)</w:t>
      </w:r>
    </w:p>
    <w:p>
      <w:pPr>
        <w:keepNext w:val="0"/>
        <w:spacing w:after="40" w:line="240" w:lineRule="auto"/>
      </w:pPr>
      <w:r>
        <w:rPr>
          <w:rFonts w:ascii="Courier New" w:hAnsi="Courier New"/>
          <w:sz w:val="16"/>
        </w:rPr>
        <w:t>with patch('uagents.agent.get_almanac_contract', return_value=None):</w:t>
      </w:r>
    </w:p>
    <w:p>
      <w:pPr>
        <w:keepNext w:val="0"/>
        <w:spacing w:after="40" w:line="240" w:lineRule="auto"/>
      </w:pPr>
      <w:r>
        <w:rPr>
          <w:rFonts w:ascii="Courier New" w:hAnsi="Courier New"/>
          <w:sz w:val="16"/>
        </w:rPr>
        <w:t xml:space="preserve">    asyncio.run(smoke('ac'))</w:t>
      </w:r>
    </w:p>
    <w:p>
      <w:pPr>
        <w:keepNext w:val="0"/>
        <w:spacing w:after="140" w:line="240" w:lineRule="auto"/>
      </w:pPr>
      <w:r>
        <w:rPr>
          <w:rFonts w:ascii="Courier New" w:hAnsi="Courier New"/>
          <w:sz w:val="16"/>
        </w:rPr>
        <w:t>PY</w:t>
      </w:r>
    </w:p>
    <w:p>
      <w:pPr>
        <w:pStyle w:val="Heading2"/>
      </w:pPr>
      <w:r>
        <w:t>Pilot operator commands</w:t>
      </w:r>
    </w:p>
    <w:p>
      <w:r>
        <w:t>First obtain the business agreement and prepare the private pilot-provider.json from docs/demo-pilot-runbook.md. Import uses the existing p4 identity, disables fictional alternatives and records exactly the stated manual checks. Replace placeholders with actual operator-controlled records.</w:t>
      </w:r>
    </w:p>
    <w:p>
      <w:pPr>
        <w:keepNext w:val="0"/>
        <w:spacing w:after="40" w:line="240" w:lineRule="auto"/>
      </w:pPr>
      <w:r>
        <w:rPr>
          <w:rFonts w:ascii="Courier New" w:hAnsi="Courier New"/>
          <w:sz w:val="16"/>
        </w:rPr>
        <w:t>.venv/bin/python -m servicesetu.operator --db data/pilot.db import-pilot \</w:t>
      </w:r>
    </w:p>
    <w:p>
      <w:pPr>
        <w:keepNext w:val="0"/>
        <w:spacing w:after="40" w:line="240" w:lineRule="auto"/>
      </w:pPr>
      <w:r>
        <w:rPr>
          <w:rFonts w:ascii="Courier New" w:hAnsi="Courier New"/>
          <w:sz w:val="16"/>
        </w:rPr>
        <w:t xml:space="preserve">  --config data/pilot-provider.json</w:t>
      </w:r>
    </w:p>
    <w:p>
      <w:pPr>
        <w:keepNext w:val="0"/>
        <w:spacing w:after="40" w:line="240" w:lineRule="auto"/>
      </w:pPr>
      <w:r>
        <w:rPr>
          <w:rFonts w:ascii="Courier New" w:hAnsi="Courier New"/>
          <w:sz w:val="16"/>
        </w:rPr>
        <w:t>.venv/bin/python -m servicesetu.operator --db data/pilot.db queue</w:t>
      </w:r>
    </w:p>
    <w:p>
      <w:pPr>
        <w:keepNext w:val="0"/>
        <w:spacing w:after="40" w:line="240" w:lineRule="auto"/>
      </w:pPr>
      <w:r>
        <w:rPr>
          <w:rFonts w:ascii="Courier New" w:hAnsi="Courier New"/>
          <w:sz w:val="16"/>
        </w:rPr>
        <w:t>.venv/bin/python -m servicesetu.operator --db data/pilot.db accept BOOKING_ID \</w:t>
      </w:r>
    </w:p>
    <w:p>
      <w:pPr>
        <w:keepNext w:val="0"/>
        <w:spacing w:after="40" w:line="240" w:lineRule="auto"/>
      </w:pPr>
      <w:r>
        <w:rPr>
          <w:rFonts w:ascii="Courier New" w:hAnsi="Courier New"/>
          <w:sz w:val="16"/>
        </w:rPr>
        <w:t xml:space="preserve">  --operator "OPERATOR NAME"</w:t>
      </w:r>
    </w:p>
    <w:p>
      <w:pPr>
        <w:keepNext w:val="0"/>
        <w:spacing w:after="40" w:line="240" w:lineRule="auto"/>
      </w:pPr>
      <w:r>
        <w:rPr>
          <w:rFonts w:ascii="Courier New" w:hAnsi="Courier New"/>
          <w:sz w:val="16"/>
        </w:rPr>
        <w:t>.venv/bin/python -m servicesetu.operator --db data/pilot.db cancel BOOKING_ID \</w:t>
      </w:r>
    </w:p>
    <w:p>
      <w:pPr>
        <w:keepNext w:val="0"/>
        <w:spacing w:after="40" w:line="240" w:lineRule="auto"/>
      </w:pPr>
      <w:r>
        <w:rPr>
          <w:rFonts w:ascii="Courier New" w:hAnsi="Courier New"/>
          <w:sz w:val="16"/>
        </w:rPr>
        <w:t xml:space="preserve">  --operator "OPERATOR NAME"</w:t>
      </w:r>
    </w:p>
    <w:p>
      <w:pPr>
        <w:keepNext w:val="0"/>
        <w:spacing w:after="40" w:line="240" w:lineRule="auto"/>
      </w:pPr>
      <w:r>
        <w:rPr>
          <w:rFonts w:ascii="Courier New" w:hAnsi="Courier New"/>
          <w:sz w:val="16"/>
        </w:rPr>
        <w:t>.venv/bin/python -m servicesetu.operator --db data/pilot.db reports \</w:t>
      </w:r>
    </w:p>
    <w:p>
      <w:pPr>
        <w:keepNext w:val="0"/>
        <w:spacing w:after="40" w:line="240" w:lineRule="auto"/>
      </w:pPr>
      <w:r>
        <w:rPr>
          <w:rFonts w:ascii="Courier New" w:hAnsi="Courier New"/>
          <w:sz w:val="16"/>
        </w:rPr>
        <w:t xml:space="preserve">  --output data/problems-review.json</w:t>
      </w:r>
    </w:p>
    <w:p>
      <w:pPr>
        <w:keepNext w:val="0"/>
        <w:spacing w:after="40" w:line="240" w:lineRule="auto"/>
      </w:pPr>
      <w:r>
        <w:rPr>
          <w:rFonts w:ascii="Courier New" w:hAnsi="Courier New"/>
          <w:sz w:val="16"/>
        </w:rPr>
        <w:t>.venv/bin/python -m servicesetu.operator --db data/pilot.db acknowledge PROBLEM_ID \</w:t>
      </w:r>
    </w:p>
    <w:p>
      <w:pPr>
        <w:keepNext w:val="0"/>
        <w:spacing w:after="140" w:line="240" w:lineRule="auto"/>
      </w:pPr>
      <w:r>
        <w:rPr>
          <w:rFonts w:ascii="Courier New" w:hAnsi="Courier New"/>
          <w:sz w:val="16"/>
        </w:rPr>
        <w:t xml:space="preserve">  --operator "OPERATOR NAME"</w:t>
      </w:r>
    </w:p>
    <w:p>
      <w:r>
        <w:t>Keep the inbox on loopback, use its provider-scoped private token locally, and never publish the report export. Acceptance is a provider/operator action; it does not replace the customer approval of the exact quote.</w:t>
      </w:r>
    </w:p>
    <w:p>
      <w:pPr>
        <w:pStyle w:val="Heading2"/>
      </w:pPr>
      <w:r>
        <w:t>Google Places publication and video files</w:t>
      </w:r>
    </w:p>
    <w:p>
      <w:r>
        <w:t>The preserved Google Places adapter is in servicesetu/places.py, cards.py, conversation.py and locations.py, with tests/test_places_discovery.py, docs/places-discovery.md, .env.example and README.md. Review added safe errors, HTTPS Google Maps links, result limits, constrained booking routing and optional dependency loading. The suite has 23 Google tests; no live Google result is claimed.</w:t>
      </w:r>
    </w:p>
    <w:p>
      <w:r>
        <w:t>docs/video-script.md and ServiceSetu_Video_Script.docx provide the timed narration, exact customer prompts and observed prior 17-event history. deliverables/README.md identifies current and historical documents. The older Laptop and Changes handoffs were preserved; their historical counts do not replace current evidence.</w:t>
      </w:r>
    </w:p>
    <w:p>
      <w:pPr>
        <w:pStyle w:val="Heading1"/>
        <w:pageBreakBefore/>
      </w:pPr>
      <w:r>
        <w:t>Latest verification and delivery diagnosis</w:t>
      </w:r>
    </w:p>
    <w:p>
      <w:r>
        <w:t>Checks span 23 and 24 October. The latest source tests passed on 24 October; the fresh ASI One attempt on 23 October did not complete. Prior completed evidence and the failed attempt must be described separately.</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600"/>
        <w:gridCol w:w="6552"/>
      </w:tblGrid>
      <w:tr>
        <w:trPr>
          <w:tblHeader/>
        </w:trPr>
        <w:tc>
          <w:tcPr>
            <w:tcW w:type="dxa" w:w="5112"/>
            <w:vAlign w:val="center"/>
            <w:shd w:fill="333333"/>
            <w:tcMar>
              <w:top w:w="85" w:type="dxa"/>
              <w:left w:w="85" w:type="dxa"/>
              <w:bottom w:w="85" w:type="dxa"/>
              <w:right w:w="85" w:type="dxa"/>
            </w:tcMar>
          </w:tcPr>
          <w:p>
            <w:pPr>
              <w:spacing w:after="40" w:line="252" w:lineRule="auto"/>
            </w:pPr>
            <w:r>
              <w:rPr>
                <w:b/>
                <w:color w:val="FFFFFF"/>
                <w:sz w:val="18"/>
              </w:rPr>
              <w:t>Check</w:t>
            </w:r>
          </w:p>
        </w:tc>
        <w:tc>
          <w:tcPr>
            <w:tcW w:type="dxa" w:w="5112"/>
            <w:vAlign w:val="center"/>
            <w:shd w:fill="333333"/>
            <w:tcMar>
              <w:top w:w="85" w:type="dxa"/>
              <w:left w:w="85" w:type="dxa"/>
              <w:bottom w:w="85" w:type="dxa"/>
              <w:right w:w="85" w:type="dxa"/>
            </w:tcMar>
          </w:tcPr>
          <w:p>
            <w:pPr>
              <w:spacing w:after="40" w:line="252" w:lineRule="auto"/>
            </w:pPr>
            <w:r>
              <w:rPr>
                <w:b/>
                <w:color w:val="FFFFFF"/>
                <w:sz w:val="18"/>
              </w:rPr>
              <w:t>Actual result</w:t>
            </w:r>
          </w:p>
        </w:tc>
      </w:tr>
      <w:tr>
        <w:trPr>
          <w:cantSplit/>
        </w:trPr>
        <w:tc>
          <w:tcPr>
            <w:tcW w:type="dxa" w:w="3600"/>
            <w:vAlign w:val="center"/>
            <w:shd w:fill="FFFFFF"/>
            <w:tcMar>
              <w:top w:w="85" w:type="dxa"/>
              <w:left w:w="85" w:type="dxa"/>
              <w:bottom w:w="85" w:type="dxa"/>
              <w:right w:w="85" w:type="dxa"/>
            </w:tcMar>
          </w:tcPr>
          <w:p>
            <w:pPr>
              <w:spacing w:after="40" w:line="252" w:lineRule="auto"/>
            </w:pPr>
            <w:r>
              <w:rPr>
                <w:b w:val="0"/>
                <w:color w:val="000000"/>
                <w:sz w:val="18"/>
              </w:rPr>
              <w:t>Current core suite</w:t>
            </w:r>
          </w:p>
        </w:tc>
        <w:tc>
          <w:tcPr>
            <w:tcW w:type="dxa" w:w="6552"/>
            <w:vAlign w:val="center"/>
            <w:shd w:fill="FFFFFF"/>
            <w:tcMar>
              <w:top w:w="85" w:type="dxa"/>
              <w:left w:w="85" w:type="dxa"/>
              <w:bottom w:w="85" w:type="dxa"/>
              <w:right w:w="85" w:type="dxa"/>
            </w:tcMar>
          </w:tcPr>
          <w:p>
            <w:pPr>
              <w:spacing w:after="40" w:line="252" w:lineRule="auto"/>
            </w:pPr>
            <w:r>
              <w:rPr>
                <w:b w:val="0"/>
                <w:color w:val="000000"/>
                <w:sz w:val="18"/>
              </w:rPr>
              <w:t>343 passed in 34.247 seconds; zero failures and skips. An earlier October 23 sandboxed run had four localhost PermissionError errors and passed its rerun with loopback access.</w:t>
            </w:r>
          </w:p>
        </w:tc>
      </w:tr>
      <w:tr>
        <w:trPr>
          <w:cantSplit/>
        </w:trPr>
        <w:tc>
          <w:tcPr>
            <w:tcW w:type="dxa" w:w="3600"/>
            <w:vAlign w:val="center"/>
            <w:shd w:fill="F4F6F8"/>
            <w:tcMar>
              <w:top w:w="85" w:type="dxa"/>
              <w:left w:w="85" w:type="dxa"/>
              <w:bottom w:w="85" w:type="dxa"/>
              <w:right w:w="85" w:type="dxa"/>
            </w:tcMar>
          </w:tcPr>
          <w:p>
            <w:pPr>
              <w:spacing w:after="40" w:line="252" w:lineRule="auto"/>
            </w:pPr>
            <w:r>
              <w:rPr>
                <w:b w:val="0"/>
                <w:color w:val="000000"/>
                <w:sz w:val="18"/>
              </w:rPr>
              <w:t>Current local AC smoke</w:t>
            </w:r>
          </w:p>
        </w:tc>
        <w:tc>
          <w:tcPr>
            <w:tcW w:type="dxa" w:w="6552"/>
            <w:vAlign w:val="center"/>
            <w:shd w:fill="F4F6F8"/>
            <w:tcMar>
              <w:top w:w="85" w:type="dxa"/>
              <w:left w:w="85" w:type="dxa"/>
              <w:bottom w:w="85" w:type="dxa"/>
              <w:right w:w="85" w:type="dxa"/>
            </w:tcMar>
          </w:tcPr>
          <w:p>
            <w:pPr>
              <w:spacing w:after="40" w:line="252" w:lineRule="auto"/>
            </w:pPr>
            <w:r>
              <w:rPr>
                <w:b w:val="0"/>
                <w:color w:val="000000"/>
                <w:sz w:val="18"/>
              </w:rPr>
              <w:t>Passed real local uAgent envelopes through approval, confirmation, messaging, authenticated cancellation, replacement approval, confirmation and audit. Almanac version lookup was stubbed; this is not an ASI One checkout.</w:t>
            </w:r>
          </w:p>
        </w:tc>
      </w:tr>
      <w:tr>
        <w:trPr>
          <w:cantSplit/>
        </w:trPr>
        <w:tc>
          <w:tcPr>
            <w:tcW w:type="dxa" w:w="3600"/>
            <w:vAlign w:val="center"/>
            <w:shd w:fill="FFFFFF"/>
            <w:tcMar>
              <w:top w:w="85" w:type="dxa"/>
              <w:left w:w="85" w:type="dxa"/>
              <w:bottom w:w="85" w:type="dxa"/>
              <w:right w:w="85" w:type="dxa"/>
            </w:tcMar>
          </w:tcPr>
          <w:p>
            <w:pPr>
              <w:spacing w:after="40" w:line="252" w:lineRule="auto"/>
            </w:pPr>
            <w:r>
              <w:rPr>
                <w:b w:val="0"/>
                <w:color w:val="000000"/>
                <w:sz w:val="18"/>
              </w:rPr>
              <w:t>Public registrations</w:t>
            </w:r>
          </w:p>
        </w:tc>
        <w:tc>
          <w:tcPr>
            <w:tcW w:type="dxa" w:w="6552"/>
            <w:vAlign w:val="center"/>
            <w:shd w:fill="FFFFFF"/>
            <w:tcMar>
              <w:top w:w="85" w:type="dxa"/>
              <w:left w:w="85" w:type="dxa"/>
              <w:bottom w:w="85" w:type="dxa"/>
              <w:right w:w="85" w:type="dxa"/>
            </w:tcMar>
          </w:tcPr>
          <w:p>
            <w:pPr>
              <w:spacing w:after="40" w:line="252" w:lineRule="auto"/>
            </w:pPr>
            <w:r>
              <w:rPr>
                <w:b w:val="0"/>
                <w:color w:val="000000"/>
                <w:sz w:val="18"/>
              </w:rPr>
              <w:t>All 13 agents active with expected protocols after one bounded retry of an Almanac connection timeout. The API omits the manifest proto: prefix; normalized digests matched.</w:t>
            </w:r>
          </w:p>
        </w:tc>
      </w:tr>
      <w:tr>
        <w:trPr>
          <w:cantSplit/>
        </w:trPr>
        <w:tc>
          <w:tcPr>
            <w:tcW w:type="dxa" w:w="3600"/>
            <w:vAlign w:val="center"/>
            <w:shd w:fill="F4F6F8"/>
            <w:tcMar>
              <w:top w:w="85" w:type="dxa"/>
              <w:left w:w="85" w:type="dxa"/>
              <w:bottom w:w="85" w:type="dxa"/>
              <w:right w:w="85" w:type="dxa"/>
            </w:tcMar>
          </w:tcPr>
          <w:p>
            <w:pPr>
              <w:spacing w:after="40" w:line="252" w:lineRule="auto"/>
            </w:pPr>
            <w:r>
              <w:rPr>
                <w:b w:val="0"/>
                <w:color w:val="000000"/>
                <w:sz w:val="18"/>
              </w:rPr>
              <w:t>Dependencies and privacy</w:t>
            </w:r>
          </w:p>
        </w:tc>
        <w:tc>
          <w:tcPr>
            <w:tcW w:type="dxa" w:w="6552"/>
            <w:vAlign w:val="center"/>
            <w:shd w:fill="F4F6F8"/>
            <w:tcMar>
              <w:top w:w="85" w:type="dxa"/>
              <w:left w:w="85" w:type="dxa"/>
              <w:bottom w:w="85" w:type="dxa"/>
              <w:right w:w="85" w:type="dxa"/>
            </w:tcMar>
          </w:tcPr>
          <w:p>
            <w:pPr>
              <w:spacing w:after="40" w:line="252" w:lineRule="auto"/>
            </w:pPr>
            <w:r>
              <w:rPr>
                <w:b w:val="0"/>
                <w:color w:val="000000"/>
                <w:sz w:val="18"/>
              </w:rPr>
              <w:t>66 installed packages compatible. Scoped tracked-file and staged-diff scans found no configured private seed/key/token values or private chat URLs. Private configuration and evidence were not published.</w:t>
            </w:r>
          </w:p>
        </w:tc>
      </w:tr>
    </w:tbl>
    <w:p/>
    <w:p>
      <w:pPr>
        <w:pStyle w:val="Heading2"/>
      </w:pPr>
      <w:r>
        <w:t>Observed network failure</w:t>
      </w:r>
    </w:p>
    <w:p>
      <w:r>
        <w:t>Logs reported mailbox and message-submit timeouts, Server disconnected, destination resolution failure and HTTP 503 upstream errors. The October 23 check saw no signed 401 rejection, but an overnight October 24 provider mailbox log did report 401 credential validation. Fresh signed checks for Concierge, Matching and that provider returned HTTP 200 in under one second. The earlier official status check reported operational services; a global outage is not established.</w:t>
      </w:r>
    </w:p>
    <w:p>
      <w:r>
        <w:t>The cause is unconfirmed. A renewed attestation succeeded, but the timeout and 401 history cannot be labelled resolved without a successful fresh live workflow. One old process was stopped and one mock mailbox mesh restarted; all 13 clients started, but delivery failures recurred. This is agent messaging transport, not email; adding Gmail or SMTP would not repair it.</w:t>
      </w:r>
    </w:p>
    <w:p>
      <w:pPr>
        <w:pStyle w:val="Heading2"/>
      </w:pPr>
      <w:r>
        <w:t>Fresh client attempt and backend outcome</w:t>
      </w:r>
    </w:p>
    <w:p>
      <w:r>
        <w:t>The fresh chat rendered both eligible AC providers, optional address, exact quote review, cancelled status and the expired approval rejection. After the first review failed to arrive before expiry, a fresh quote was requested. Its review arrived late, and approval reached an expired hold. The client explicitly displayed Hold expired; refresh before approving.</w:t>
      </w:r>
    </w:p>
    <w:p>
      <w:r>
        <w:t>Read-only backend inspection separately found two cancelled, unapproved bookings, payment state none and zero payment rows. There was no new confirmation and no provider cancellation control was invoked in this fresh attempt. Expiry and approval protections were preserved. The previous completed 17-event conversation remains prior evidence.</w:t>
      </w:r>
    </w:p>
    <w:p>
      <w:r>
        <w:t>Laptop shutdown and free hosting: no remote runtime has been deployed. Registration alone does not host the backend. Oracle Always Free or an authorized college VM is a candidate; account access, private migration, persistence and a fresh ASI One flow remain unverified. Render free sleeps and lacks persistent disks; the Agentverse hosted editor disallows Bureau. See docs/hosting.md. Do not leave the laptop on for days or claim remote availability.</w:t>
      </w:r>
    </w:p>
    <w:p>
      <w:pPr>
        <w:pStyle w:val="Heading1"/>
        <w:pageBreakBefore/>
      </w:pPr>
      <w:r>
        <w:t>Challenge requirements and submission actions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600"/>
        <w:gridCol w:w="6552"/>
      </w:tblGrid>
      <w:tr>
        <w:trPr>
          <w:tblHeader/>
        </w:trPr>
        <w:tc>
          <w:tcPr>
            <w:tcW w:type="dxa" w:w="5112"/>
            <w:vAlign w:val="center"/>
            <w:shd w:fill="333333"/>
            <w:tcMar>
              <w:top w:w="85" w:type="dxa"/>
              <w:left w:w="85" w:type="dxa"/>
              <w:bottom w:w="85" w:type="dxa"/>
              <w:right w:w="85" w:type="dxa"/>
            </w:tcMar>
          </w:tcPr>
          <w:p>
            <w:pPr>
              <w:spacing w:after="40" w:line="252" w:lineRule="auto"/>
            </w:pPr>
            <w:r>
              <w:rPr>
                <w:b/>
                <w:color w:val="FFFFFF"/>
                <w:sz w:val="18"/>
              </w:rPr>
              <w:t>Requirement</w:t>
            </w:r>
          </w:p>
        </w:tc>
        <w:tc>
          <w:tcPr>
            <w:tcW w:type="dxa" w:w="5112"/>
            <w:vAlign w:val="center"/>
            <w:shd w:fill="333333"/>
            <w:tcMar>
              <w:top w:w="85" w:type="dxa"/>
              <w:left w:w="85" w:type="dxa"/>
              <w:bottom w:w="85" w:type="dxa"/>
              <w:right w:w="85" w:type="dxa"/>
            </w:tcMar>
          </w:tcPr>
          <w:p>
            <w:pPr>
              <w:spacing w:after="40" w:line="252" w:lineRule="auto"/>
            </w:pPr>
            <w:r>
              <w:rPr>
                <w:b/>
                <w:color w:val="FFFFFF"/>
                <w:sz w:val="18"/>
              </w:rPr>
              <w:t>Evidence or remaining action</w:t>
            </w:r>
          </w:p>
        </w:tc>
      </w:tr>
      <w:tr>
        <w:trPr>
          <w:cantSplit/>
        </w:trPr>
        <w:tc>
          <w:tcPr>
            <w:tcW w:type="dxa" w:w="3600"/>
            <w:vAlign w:val="center"/>
            <w:shd w:fill="FFFFFF"/>
            <w:tcMar>
              <w:top w:w="85" w:type="dxa"/>
              <w:left w:w="85" w:type="dxa"/>
              <w:bottom w:w="85" w:type="dxa"/>
              <w:right w:w="85" w:type="dxa"/>
            </w:tcMar>
          </w:tcPr>
          <w:p>
            <w:pPr>
              <w:spacing w:after="40" w:line="252" w:lineRule="auto"/>
            </w:pPr>
            <w:r>
              <w:rPr>
                <w:b w:val="0"/>
                <w:color w:val="000000"/>
                <w:sz w:val="18"/>
              </w:rPr>
              <w:t>Real problem and meaningful action</w:t>
            </w:r>
          </w:p>
        </w:tc>
        <w:tc>
          <w:tcPr>
            <w:tcW w:type="dxa" w:w="6552"/>
            <w:vAlign w:val="center"/>
            <w:shd w:fill="FFFFFF"/>
            <w:tcMar>
              <w:top w:w="85" w:type="dxa"/>
              <w:left w:w="85" w:type="dxa"/>
              <w:bottom w:w="85" w:type="dxa"/>
              <w:right w:w="85" w:type="dxa"/>
            </w:tcMar>
          </w:tcPr>
          <w:p>
            <w:pPr>
              <w:spacing w:after="40" w:line="252" w:lineRule="auto"/>
            </w:pPr>
            <w:r>
              <w:rPr>
                <w:b w:val="0"/>
                <w:color w:val="000000"/>
                <w:sz w:val="18"/>
              </w:rPr>
              <w:t>Coordinates service constraints, eligible provider quotes, customer approval, test booking, cancellation recovery and an explanatory history. Fictional provider and simulated payment labels remain visible.</w:t>
            </w:r>
          </w:p>
        </w:tc>
      </w:tr>
      <w:tr>
        <w:trPr>
          <w:cantSplit/>
        </w:trPr>
        <w:tc>
          <w:tcPr>
            <w:tcW w:type="dxa" w:w="3600"/>
            <w:vAlign w:val="center"/>
            <w:shd w:fill="F4F6F8"/>
            <w:tcMar>
              <w:top w:w="85" w:type="dxa"/>
              <w:left w:w="85" w:type="dxa"/>
              <w:bottom w:w="85" w:type="dxa"/>
              <w:right w:w="85" w:type="dxa"/>
            </w:tcMar>
          </w:tcPr>
          <w:p>
            <w:pPr>
              <w:spacing w:after="40" w:line="252" w:lineRule="auto"/>
            </w:pPr>
            <w:r>
              <w:rPr>
                <w:b w:val="0"/>
                <w:color w:val="000000"/>
                <w:sz w:val="18"/>
              </w:rPr>
              <w:t>Agentverse and ACP</w:t>
            </w:r>
          </w:p>
        </w:tc>
        <w:tc>
          <w:tcPr>
            <w:tcW w:type="dxa" w:w="6552"/>
            <w:vAlign w:val="center"/>
            <w:shd w:fill="F4F6F8"/>
            <w:tcMar>
              <w:top w:w="85" w:type="dxa"/>
              <w:left w:w="85" w:type="dxa"/>
              <w:bottom w:w="85" w:type="dxa"/>
              <w:right w:w="85" w:type="dxa"/>
            </w:tcMar>
          </w:tcPr>
          <w:p>
            <w:pPr>
              <w:spacing w:after="40" w:line="252" w:lineRule="auto"/>
            </w:pPr>
            <w:r>
              <w:rPr>
                <w:b w:val="0"/>
                <w:color w:val="000000"/>
                <w:sz w:val="18"/>
              </w:rPr>
              <w:t>13 unchanged identities active; expected protocols present. The public Concierge profile rendered without Agentverse sign-in, showed ACP and Payment Protocol, and linked Chat with Agent to ASI One. Authenticated recipient selection worked; broad fresh-account search remains unverified.</w:t>
            </w:r>
          </w:p>
        </w:tc>
      </w:tr>
      <w:tr>
        <w:trPr>
          <w:cantSplit/>
        </w:trPr>
        <w:tc>
          <w:tcPr>
            <w:tcW w:type="dxa" w:w="3600"/>
            <w:vAlign w:val="center"/>
            <w:shd w:fill="FFFFFF"/>
            <w:tcMar>
              <w:top w:w="85" w:type="dxa"/>
              <w:left w:w="85" w:type="dxa"/>
              <w:bottom w:w="85" w:type="dxa"/>
              <w:right w:w="85" w:type="dxa"/>
            </w:tcMar>
          </w:tcPr>
          <w:p>
            <w:pPr>
              <w:spacing w:after="40" w:line="252" w:lineRule="auto"/>
            </w:pPr>
            <w:r>
              <w:rPr>
                <w:b w:val="0"/>
                <w:color w:val="000000"/>
                <w:sz w:val="18"/>
              </w:rPr>
              <w:t>Primary workflow inside ASI One</w:t>
            </w:r>
          </w:p>
        </w:tc>
        <w:tc>
          <w:tcPr>
            <w:tcW w:type="dxa" w:w="6552"/>
            <w:vAlign w:val="center"/>
            <w:shd w:fill="FFFFFF"/>
            <w:tcMar>
              <w:top w:w="85" w:type="dxa"/>
              <w:left w:w="85" w:type="dxa"/>
              <w:bottom w:w="85" w:type="dxa"/>
              <w:right w:w="85" w:type="dxa"/>
            </w:tcMar>
          </w:tcPr>
          <w:p>
            <w:pPr>
              <w:spacing w:after="40" w:line="252" w:lineRule="auto"/>
            </w:pPr>
            <w:r>
              <w:rPr>
                <w:b w:val="0"/>
                <w:color w:val="000000"/>
                <w:sz w:val="18"/>
              </w:rPr>
              <w:t>Prior full mock journey rendered in one conversation. Latest fresh attempt remains blocked by response delivery and safe expiry. Operator cancellation simulates the provider event; the customer stays in chat.</w:t>
            </w:r>
          </w:p>
        </w:tc>
      </w:tr>
      <w:tr>
        <w:trPr>
          <w:cantSplit/>
        </w:trPr>
        <w:tc>
          <w:tcPr>
            <w:tcW w:type="dxa" w:w="3600"/>
            <w:vAlign w:val="center"/>
            <w:shd w:fill="F4F6F8"/>
            <w:tcMar>
              <w:top w:w="85" w:type="dxa"/>
              <w:left w:w="85" w:type="dxa"/>
              <w:bottom w:w="85" w:type="dxa"/>
              <w:right w:w="85" w:type="dxa"/>
            </w:tcMar>
          </w:tcPr>
          <w:p>
            <w:pPr>
              <w:spacing w:after="40" w:line="252" w:lineRule="auto"/>
            </w:pPr>
            <w:r>
              <w:rPr>
                <w:b w:val="0"/>
                <w:color w:val="000000"/>
                <w:sz w:val="18"/>
              </w:rPr>
              <w:t>Public repository</w:t>
            </w:r>
          </w:p>
        </w:tc>
        <w:tc>
          <w:tcPr>
            <w:tcW w:type="dxa" w:w="6552"/>
            <w:vAlign w:val="center"/>
            <w:shd w:fill="F4F6F8"/>
            <w:tcMar>
              <w:top w:w="85" w:type="dxa"/>
              <w:left w:w="85" w:type="dxa"/>
              <w:bottom w:w="85" w:type="dxa"/>
              <w:right w:w="85" w:type="dxa"/>
            </w:tcMar>
          </w:tcPr>
          <w:p>
            <w:pPr>
              <w:spacing w:after="40" w:line="252" w:lineRule="auto"/>
            </w:pPr>
            <w:r>
              <w:rPr>
                <w:b w:val="0"/>
                <w:color w:val="000000"/>
                <w:sz w:val="18"/>
              </w:rPr>
              <w:t>https://github.com/arywk40-hue/ServiceSetu is public. Source and run instructions are available. See docs/showcase-readiness.md and git history for the publication review and exact version.</w:t>
            </w:r>
          </w:p>
        </w:tc>
      </w:tr>
      <w:tr>
        <w:trPr>
          <w:cantSplit/>
        </w:trPr>
        <w:tc>
          <w:tcPr>
            <w:tcW w:type="dxa" w:w="3600"/>
            <w:vAlign w:val="center"/>
            <w:shd w:fill="FFFFFF"/>
            <w:tcMar>
              <w:top w:w="85" w:type="dxa"/>
              <w:left w:w="85" w:type="dxa"/>
              <w:bottom w:w="85" w:type="dxa"/>
              <w:right w:w="85" w:type="dxa"/>
            </w:tcMar>
          </w:tcPr>
          <w:p>
            <w:pPr>
              <w:spacing w:after="40" w:line="252" w:lineRule="auto"/>
            </w:pPr>
            <w:r>
              <w:rPr>
                <w:b w:val="0"/>
                <w:color w:val="000000"/>
                <w:sz w:val="18"/>
              </w:rPr>
              <w:t>Public shared chat</w:t>
            </w:r>
          </w:p>
        </w:tc>
        <w:tc>
          <w:tcPr>
            <w:tcW w:type="dxa" w:w="6552"/>
            <w:vAlign w:val="center"/>
            <w:shd w:fill="FFFFFF"/>
            <w:tcMar>
              <w:top w:w="85" w:type="dxa"/>
              <w:left w:w="85" w:type="dxa"/>
              <w:bottom w:w="85" w:type="dxa"/>
              <w:right w:w="85" w:type="dxa"/>
            </w:tcMar>
          </w:tcPr>
          <w:p>
            <w:pPr>
              <w:spacing w:after="40" w:line="252" w:lineRule="auto"/>
            </w:pPr>
            <w:r>
              <w:rPr>
                <w:b w:val="0"/>
                <w:color w:val="000000"/>
                <w:sz w:val="18"/>
              </w:rPr>
              <w:t>Still unresolved. A private /chat/ link is not the required public submission URL. Use ASI One Share and verify access without the owner authenticated session.</w:t>
            </w:r>
          </w:p>
        </w:tc>
      </w:tr>
      <w:tr>
        <w:trPr>
          <w:cantSplit/>
        </w:trPr>
        <w:tc>
          <w:tcPr>
            <w:tcW w:type="dxa" w:w="3600"/>
            <w:vAlign w:val="center"/>
            <w:shd w:fill="F4F6F8"/>
            <w:tcMar>
              <w:top w:w="85" w:type="dxa"/>
              <w:left w:w="85" w:type="dxa"/>
              <w:bottom w:w="85" w:type="dxa"/>
              <w:right w:w="85" w:type="dxa"/>
            </w:tcMar>
          </w:tcPr>
          <w:p>
            <w:pPr>
              <w:spacing w:after="40" w:line="252" w:lineRule="auto"/>
            </w:pPr>
            <w:r>
              <w:rPr>
                <w:b w:val="0"/>
                <w:color w:val="000000"/>
                <w:sz w:val="18"/>
              </w:rPr>
              <w:t>Agent profiles</w:t>
            </w:r>
          </w:p>
        </w:tc>
        <w:tc>
          <w:tcPr>
            <w:tcW w:type="dxa" w:w="6552"/>
            <w:vAlign w:val="center"/>
            <w:shd w:fill="F4F6F8"/>
            <w:tcMar>
              <w:top w:w="85" w:type="dxa"/>
              <w:left w:w="85" w:type="dxa"/>
              <w:bottom w:w="85" w:type="dxa"/>
              <w:right w:w="85" w:type="dxa"/>
            </w:tcMar>
          </w:tcPr>
          <w:p>
            <w:pPr>
              <w:spacing w:after="40" w:line="252" w:lineRule="auto"/>
            </w:pPr>
            <w:r>
              <w:rPr>
                <w:b w:val="0"/>
                <w:color w:val="000000"/>
                <w:sz w:val="18"/>
              </w:rPr>
              <w:t>Concierge profile and all 13 public Agentverse profile links are in README.md and artifacts/registration-manifest.json.</w:t>
            </w:r>
          </w:p>
        </w:tc>
      </w:tr>
      <w:tr>
        <w:trPr>
          <w:cantSplit/>
        </w:trPr>
        <w:tc>
          <w:tcPr>
            <w:tcW w:type="dxa" w:w="3600"/>
            <w:vAlign w:val="center"/>
            <w:shd w:fill="FFFFFF"/>
            <w:tcMar>
              <w:top w:w="85" w:type="dxa"/>
              <w:left w:w="85" w:type="dxa"/>
              <w:bottom w:w="85" w:type="dxa"/>
              <w:right w:w="85" w:type="dxa"/>
            </w:tcMar>
          </w:tcPr>
          <w:p>
            <w:pPr>
              <w:spacing w:after="40" w:line="252" w:lineRule="auto"/>
            </w:pPr>
            <w:r>
              <w:rPr>
                <w:b w:val="0"/>
                <w:color w:val="000000"/>
                <w:sz w:val="18"/>
              </w:rPr>
              <w:t>Video and Devpost</w:t>
            </w:r>
          </w:p>
        </w:tc>
        <w:tc>
          <w:tcPr>
            <w:tcW w:type="dxa" w:w="6552"/>
            <w:vAlign w:val="center"/>
            <w:shd w:fill="FFFFFF"/>
            <w:tcMar>
              <w:top w:w="85" w:type="dxa"/>
              <w:left w:w="85" w:type="dxa"/>
              <w:bottom w:w="85" w:type="dxa"/>
              <w:right w:w="85" w:type="dxa"/>
            </w:tcMar>
          </w:tcPr>
          <w:p>
            <w:pPr>
              <w:spacing w:after="40" w:line="252" w:lineRule="auto"/>
            </w:pPr>
            <w:r>
              <w:rPr>
                <w:b w:val="0"/>
                <w:color w:val="000000"/>
                <w:sz w:val="18"/>
              </w:rPr>
              <w:t>The owner will record and upload the short video. No video or Devpost submission was generated or claimed. Description and recording sequence are prepared below.</w:t>
            </w:r>
          </w:p>
        </w:tc>
      </w:tr>
    </w:tbl>
    <w:p/>
    <w:p>
      <w:pPr>
        <w:pStyle w:val="Heading2"/>
      </w:pPr>
      <w:r>
        <w:t>Recording sequence for the owner</w:t>
      </w:r>
    </w:p>
    <w:p>
      <w:r>
        <w:t>Show the household problem and registered Concierge; enter service, location, time and budget; compare provider scope and price; review and explicitly approve; show simulated confirmation; trigger provider cancellation; show the notice, reversal and eligible alternative; freshly approve; finish with replacement confirmation and full history. Keep every customer action in the same ASI One conversation. If showing the prior completed chat, identify it as recorded evidence rather than a new live run.</w:t>
      </w:r>
    </w:p>
    <w:p>
      <w:pPr>
        <w:pStyle w:val="Heading2"/>
      </w:pPr>
      <w:r>
        <w:t>Brief description for Devpost</w:t>
      </w:r>
    </w:p>
    <w:p>
      <w:r>
        <w:t>ServiceSetu helps households coordinate local service appointments and recover when a provider cancels. A Concierge coordinates specialist and independent provider agents, compares eligible quotes, obtains exact customer approval, records a test booking and finds a replacement within the original limits with fresh approval. An audit timeline explains what happened. The showcase uses fictional Bengaluru AC and plumbing providers, a mock registry and simulated payments. The outcome is a demonstrable auditable booking and recovery, not an actual service reservation.</w:t>
      </w:r>
    </w:p>
    <w:p>
      <w:pPr>
        <w:pStyle w:val="Heading2"/>
      </w:pPr>
      <w:r>
        <w:t>Readiness documentation changes</w:t>
      </w:r>
    </w:p>
    <w:p>
      <w:r>
        <w:t>docs/showcase-readiness.md maps the challenge to evidence, commands and blockers. docs/submission.md records test results and owner responsibilities. docs/acceptance-audit.md points to the current audit, and docs/external-mcp.md records live TomTom evidence. README.md links the audit and video script. Optional Google source and mocked tests are included in the publication package. No private configuration or live Google transaction is included.</w:t>
      </w:r>
    </w:p>
    <w:sectPr w:rsidR="00FC693F" w:rsidRPr="0006063C" w:rsidSect="00034616">
      <w:footerReference w:type="default" r:id="rId9"/>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pPr>
    <w:r>
      <w:rPr>
        <w:sz w:val="16"/>
      </w:rPr>
      <w:t xml:space="preserve">ServiceSetu showcase handoff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outlineLvl w:val="0"/>
    </w:pPr>
    <w:rPr>
      <w:rFonts w:asciiTheme="majorHAnsi" w:eastAsiaTheme="majorEastAsia" w:hAnsiTheme="majorHAnsi" w:cstheme="majorBidi" w:ascii="Arial" w:hAnsi="Arial"/>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contextualSpacing/>
    </w:pPr>
    <w:rPr>
      <w:rFonts w:asciiTheme="majorHAnsi" w:eastAsiaTheme="majorEastAsia" w:hAnsiTheme="majorHAnsi" w:cstheme="majorBidi" w:ascii="Arial" w:hAnsi="Arial"/>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20"/>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ServiceSetu showcase handoff</dc:title>
  <dc:subject>Verified backend integrations and October 24 demonstration</dc:subject>
  <dc:creator>ServiceSetu</dc:creator>
  <cp:keywords>ServiceSetu TomTom Taskrabbit Dorado FET mock demonstration</cp:keywords>
  <dc:description>generated by python-docx</dc:description>
  <cp:lastModifiedBy/>
  <cp:revision>1</cp:revision>
  <dcterms:created xsi:type="dcterms:W3CDTF">2013-12-23T23:15:00Z</dcterms:created>
  <dcterms:modified xsi:type="dcterms:W3CDTF">2013-12-23T23:15:00Z</dcterms:modified>
  <cp:category/>
</cp:coreProperties>
</file>