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Changes and Handoff</w:t>
      </w:r>
    </w:p>
    <w:p>
      <w:r>
        <w:rPr>
          <w:color w:val="5A6978"/>
        </w:rPr>
        <w:t>23 October 2026  ·  Existing ServiceSetu repository  ·  Local changes only</w:t>
      </w:r>
    </w:p>
    <w:p>
      <w:r>
        <w:t>This handoff lists the implementation, evidence, exact demo steps, payment setup, current live blockers and operator responsibilities. It contains no credentials, private seed, access token or customer data.</w:t>
      </w:r>
    </w:p>
    <w:p>
      <w:pPr>
        <w:pStyle w:val="Heading1"/>
      </w:pPr>
      <w:r>
        <w:t>Current status</w:t>
      </w:r>
    </w:p>
    <w:p>
      <w:r>
        <w:t>Local verification is complete: the saved final proof output records 280 of 280 checks passed, no failures, no skips, and all 14 local uAgent workflow scenarios passed. This is local evidence, not proof that a gateway transaction or the complete ASI:One flow works live.</w:t>
      </w:r>
    </w:p>
    <w:p>
      <w:r>
        <w:t>The work began from repository commit bf708c2 after inspecting the latest remote version. Existing seed, registered agent identities, provider role names and architecture were preserved. No provider was contacted or joined. Changes are uncommitted and unpublished.</w:t>
      </w:r>
    </w:p>
    <w:p>
      <w:pPr>
        <w:pStyle w:val="Heading1"/>
      </w:pPr>
      <w:r>
        <w:t>What changed</w:t>
      </w:r>
    </w:p>
    <w:p>
      <w:r>
        <w:t>The customer flow now binds review, consent, payment and confirmation to the same current quote. Payment rail and gateway operation references persist across retries; expired holds cannot confirm; late capture needs test-mode compensation. Customer status cards expose messages, completion, history, report-a-problem, checkout resume and payment refresh. Reports are encrypted and linked to a booking, with private operator review and acknowledgement. A trusted operator can configure one willing plumbing business under existing identity p4 in an isolated database; the pilot label lists only actual manual checks and fictional providers are not used as real alternatives.</w:t>
      </w:r>
    </w:p>
    <w:p>
      <w:r>
        <w:t>Razorpay was added as test-only Payment Link checkout. It is an external hosted page, not a native ASI:One payment card. The customer returns to the same chat and sends “check payment”; the server reads and verifies the payment status. Stripe TEST remains optional and embedded. Mock payments are simulated and cause no gateway charge.</w:t>
      </w:r>
    </w:p>
    <w:p>
      <w:pPr>
        <w:pStyle w:val="Heading1"/>
      </w:pPr>
      <w:r>
        <w:t>Changed files and purpose</w:t>
      </w:r>
    </w:p>
    <w:tbl>
      <w:tblPr>
        <w:tblStyle w:val="LightShading-Accent1"/>
        <w:tblW w:type="auto" w:w="0"/>
        <w:jc w:val="center"/>
        <w:tblLook w:firstColumn="1" w:firstRow="1" w:lastColumn="0" w:lastRow="0" w:noHBand="0" w:noVBand="1" w:val="04A0"/>
      </w:tblPr>
      <w:tblGrid>
        <w:gridCol w:w="5040"/>
        <w:gridCol w:w="5040"/>
      </w:tblGrid>
      <w:tr>
        <w:trPr>
          <w:cantSplit/>
          <w:tblHeader/>
        </w:trPr>
        <w:tc>
          <w:tcPr>
            <w:tcW w:type="dxa" w:w="3672"/>
            <w:vAlign w:val="center"/>
            <w:shd w:fill="1F4E78"/>
          </w:tcPr>
          <w:p>
            <w:pPr>
              <w:spacing w:after="20"/>
            </w:pPr>
            <w:r>
              <w:rPr>
                <w:rFonts w:ascii="Arial" w:hAnsi="Arial"/>
                <w:b/>
                <w:color w:val="FFFFFF"/>
                <w:sz w:val="16"/>
              </w:rPr>
              <w:t>File</w:t>
            </w:r>
          </w:p>
        </w:tc>
        <w:tc>
          <w:tcPr>
            <w:tcW w:type="dxa" w:w="6264"/>
            <w:vAlign w:val="center"/>
            <w:shd w:fill="1F4E78"/>
          </w:tcPr>
          <w:p>
            <w:pPr>
              <w:spacing w:after="20"/>
            </w:pPr>
            <w:r>
              <w:rPr>
                <w:rFonts w:ascii="Arial" w:hAnsi="Arial"/>
                <w:b/>
                <w:color w:val="FFFFFF"/>
                <w:sz w:val="16"/>
              </w:rPr>
              <w:t>Purpose</w:t>
            </w:r>
          </w:p>
        </w:tc>
      </w:tr>
      <w:tr>
        <w:trPr>
          <w:cantSplit/>
        </w:trPr>
        <w:tc>
          <w:tcPr>
            <w:tcW w:type="dxa" w:w="3672"/>
            <w:vAlign w:val="center"/>
          </w:tcPr>
          <w:p>
            <w:pPr>
              <w:spacing w:after="20"/>
            </w:pPr>
            <w:r>
              <w:rPr>
                <w:rFonts w:ascii="Arial" w:hAnsi="Arial"/>
                <w:sz w:val="16"/>
              </w:rPr>
              <w:t>.env.example</w:t>
            </w:r>
          </w:p>
        </w:tc>
        <w:tc>
          <w:tcPr>
            <w:tcW w:type="dxa" w:w="6264"/>
            <w:vAlign w:val="center"/>
          </w:tcPr>
          <w:p>
            <w:pPr>
              <w:spacing w:after="20"/>
            </w:pPr>
            <w:r>
              <w:rPr>
                <w:rFonts w:ascii="Arial" w:hAnsi="Arial"/>
                <w:sz w:val="16"/>
              </w:rPr>
              <w:t>Names and comments for mock, Razorpay TEST and optional Stripe TEST settings.</w:t>
            </w:r>
          </w:p>
        </w:tc>
      </w:tr>
      <w:tr>
        <w:trPr>
          <w:cantSplit/>
        </w:trPr>
        <w:tc>
          <w:tcPr>
            <w:tcW w:type="dxa" w:w="3672"/>
            <w:vAlign w:val="center"/>
          </w:tcPr>
          <w:p>
            <w:pPr>
              <w:spacing w:after="20"/>
            </w:pPr>
            <w:r>
              <w:rPr>
                <w:rFonts w:ascii="Arial" w:hAnsi="Arial"/>
                <w:sz w:val="16"/>
              </w:rPr>
              <w:t>.gitignore</w:t>
            </w:r>
          </w:p>
        </w:tc>
        <w:tc>
          <w:tcPr>
            <w:tcW w:type="dxa" w:w="6264"/>
            <w:vAlign w:val="center"/>
          </w:tcPr>
          <w:p>
            <w:pPr>
              <w:spacing w:after="20"/>
            </w:pPr>
            <w:r>
              <w:rPr>
                <w:rFonts w:ascii="Arial" w:hAnsi="Arial"/>
                <w:sz w:val="16"/>
              </w:rPr>
              <w:t>Ignores private provider inbox token files.</w:t>
            </w:r>
          </w:p>
        </w:tc>
      </w:tr>
      <w:tr>
        <w:trPr>
          <w:cantSplit/>
        </w:trPr>
        <w:tc>
          <w:tcPr>
            <w:tcW w:type="dxa" w:w="3672"/>
            <w:vAlign w:val="center"/>
          </w:tcPr>
          <w:p>
            <w:pPr>
              <w:spacing w:after="20"/>
            </w:pPr>
            <w:r>
              <w:rPr>
                <w:rFonts w:ascii="Arial" w:hAnsi="Arial"/>
                <w:sz w:val="16"/>
              </w:rPr>
              <w:t>README.md</w:t>
            </w:r>
          </w:p>
        </w:tc>
        <w:tc>
          <w:tcPr>
            <w:tcW w:type="dxa" w:w="6264"/>
            <w:vAlign w:val="center"/>
          </w:tcPr>
          <w:p>
            <w:pPr>
              <w:spacing w:after="20"/>
            </w:pPr>
            <w:r>
              <w:rPr>
                <w:rFonts w:ascii="Arial" w:hAnsi="Arial"/>
                <w:sz w:val="16"/>
              </w:rPr>
              <w:t>Updates payment modes, safeguards, test counts and runbook links.</w:t>
            </w:r>
          </w:p>
        </w:tc>
      </w:tr>
      <w:tr>
        <w:trPr>
          <w:cantSplit/>
        </w:trPr>
        <w:tc>
          <w:tcPr>
            <w:tcW w:type="dxa" w:w="3672"/>
            <w:vAlign w:val="center"/>
          </w:tcPr>
          <w:p>
            <w:pPr>
              <w:spacing w:after="20"/>
            </w:pPr>
            <w:r>
              <w:rPr>
                <w:rFonts w:ascii="Arial" w:hAnsi="Arial"/>
                <w:sz w:val="16"/>
              </w:rPr>
              <w:t>docs/acceptance-audit.md</w:t>
            </w:r>
          </w:p>
        </w:tc>
        <w:tc>
          <w:tcPr>
            <w:tcW w:type="dxa" w:w="6264"/>
            <w:vAlign w:val="center"/>
          </w:tcPr>
          <w:p>
            <w:pPr>
              <w:spacing w:after="20"/>
            </w:pPr>
            <w:r>
              <w:rPr>
                <w:rFonts w:ascii="Arial" w:hAnsi="Arial"/>
                <w:sz w:val="16"/>
              </w:rPr>
              <w:t>Records the new acceptance and evidence boundary.</w:t>
            </w:r>
          </w:p>
        </w:tc>
      </w:tr>
      <w:tr>
        <w:trPr>
          <w:cantSplit/>
        </w:trPr>
        <w:tc>
          <w:tcPr>
            <w:tcW w:type="dxa" w:w="3672"/>
            <w:vAlign w:val="center"/>
          </w:tcPr>
          <w:p>
            <w:pPr>
              <w:spacing w:after="20"/>
            </w:pPr>
            <w:r>
              <w:rPr>
                <w:rFonts w:ascii="Arial" w:hAnsi="Arial"/>
                <w:sz w:val="16"/>
              </w:rPr>
              <w:t>docs/booking-communications.md</w:t>
            </w:r>
          </w:p>
        </w:tc>
        <w:tc>
          <w:tcPr>
            <w:tcW w:type="dxa" w:w="6264"/>
            <w:vAlign w:val="center"/>
          </w:tcPr>
          <w:p>
            <w:pPr>
              <w:spacing w:after="20"/>
            </w:pPr>
            <w:r>
              <w:rPr>
                <w:rFonts w:ascii="Arial" w:hAnsi="Arial"/>
                <w:sz w:val="16"/>
              </w:rPr>
              <w:t>Documents booking-linked communications behavior.</w:t>
            </w:r>
          </w:p>
        </w:tc>
      </w:tr>
      <w:tr>
        <w:trPr>
          <w:cantSplit/>
        </w:trPr>
        <w:tc>
          <w:tcPr>
            <w:tcW w:type="dxa" w:w="3672"/>
            <w:vAlign w:val="center"/>
          </w:tcPr>
          <w:p>
            <w:pPr>
              <w:spacing w:after="20"/>
            </w:pPr>
            <w:r>
              <w:rPr>
                <w:rFonts w:ascii="Arial" w:hAnsi="Arial"/>
                <w:sz w:val="16"/>
              </w:rPr>
              <w:t>docs/submission.md</w:t>
            </w:r>
          </w:p>
        </w:tc>
        <w:tc>
          <w:tcPr>
            <w:tcW w:type="dxa" w:w="6264"/>
            <w:vAlign w:val="center"/>
          </w:tcPr>
          <w:p>
            <w:pPr>
              <w:spacing w:after="20"/>
            </w:pPr>
            <w:r>
              <w:rPr>
                <w:rFonts w:ascii="Arial" w:hAnsi="Arial"/>
                <w:sz w:val="16"/>
              </w:rPr>
              <w:t>Current local/live acceptance checklist and unresolved checkout constraint.</w:t>
            </w:r>
          </w:p>
        </w:tc>
      </w:tr>
      <w:tr>
        <w:trPr>
          <w:cantSplit/>
        </w:trPr>
        <w:tc>
          <w:tcPr>
            <w:tcW w:type="dxa" w:w="3672"/>
            <w:vAlign w:val="center"/>
          </w:tcPr>
          <w:p>
            <w:pPr>
              <w:spacing w:after="20"/>
            </w:pPr>
            <w:r>
              <w:rPr>
                <w:rFonts w:ascii="Arial" w:hAnsi="Arial"/>
                <w:sz w:val="16"/>
              </w:rPr>
              <w:t>docs/demo-pilot-runbook.md</w:t>
            </w:r>
          </w:p>
        </w:tc>
        <w:tc>
          <w:tcPr>
            <w:tcW w:type="dxa" w:w="6264"/>
            <w:vAlign w:val="center"/>
          </w:tcPr>
          <w:p>
            <w:pPr>
              <w:spacing w:after="20"/>
            </w:pPr>
            <w:r>
              <w:rPr>
                <w:rFonts w:ascii="Arial" w:hAnsi="Arial"/>
                <w:sz w:val="16"/>
              </w:rPr>
              <w:t>Exact demo, gateway setup, one-provider pilot configuration and operator steps.</w:t>
            </w:r>
          </w:p>
        </w:tc>
      </w:tr>
      <w:tr>
        <w:trPr>
          <w:cantSplit/>
        </w:trPr>
        <w:tc>
          <w:tcPr>
            <w:tcW w:type="dxa" w:w="3672"/>
            <w:vAlign w:val="center"/>
          </w:tcPr>
          <w:p>
            <w:pPr>
              <w:spacing w:after="20"/>
            </w:pPr>
            <w:r>
              <w:rPr>
                <w:rFonts w:ascii="Arial" w:hAnsi="Arial"/>
                <w:sz w:val="16"/>
              </w:rPr>
              <w:t>pyproject.toml</w:t>
            </w:r>
          </w:p>
        </w:tc>
        <w:tc>
          <w:tcPr>
            <w:tcW w:type="dxa" w:w="6264"/>
            <w:vAlign w:val="center"/>
          </w:tcPr>
          <w:p>
            <w:pPr>
              <w:spacing w:after="20"/>
            </w:pPr>
            <w:r>
              <w:rPr>
                <w:rFonts w:ascii="Arial" w:hAnsi="Arial"/>
                <w:sz w:val="16"/>
              </w:rPr>
              <w:t>Includes messaging crypto dependency in the fetch installation extra.</w:t>
            </w:r>
          </w:p>
        </w:tc>
      </w:tr>
      <w:tr>
        <w:trPr>
          <w:cantSplit/>
        </w:trPr>
        <w:tc>
          <w:tcPr>
            <w:tcW w:type="dxa" w:w="3672"/>
            <w:vAlign w:val="center"/>
          </w:tcPr>
          <w:p>
            <w:pPr>
              <w:spacing w:after="20"/>
            </w:pPr>
            <w:r>
              <w:rPr>
                <w:rFonts w:ascii="Arial" w:hAnsi="Arial"/>
                <w:sz w:val="16"/>
              </w:rPr>
              <w:t>servicesetu/__main__.py</w:t>
            </w:r>
          </w:p>
        </w:tc>
        <w:tc>
          <w:tcPr>
            <w:tcW w:type="dxa" w:w="6264"/>
            <w:vAlign w:val="center"/>
          </w:tcPr>
          <w:p>
            <w:pPr>
              <w:spacing w:after="20"/>
            </w:pPr>
            <w:r>
              <w:rPr>
                <w:rFonts w:ascii="Arial" w:hAnsi="Arial"/>
                <w:sz w:val="16"/>
              </w:rPr>
              <w:t>Includes plumbing in the local mesh proof scenarios.</w:t>
            </w:r>
          </w:p>
        </w:tc>
      </w:tr>
      <w:tr>
        <w:trPr>
          <w:cantSplit/>
        </w:trPr>
        <w:tc>
          <w:tcPr>
            <w:tcW w:type="dxa" w:w="3672"/>
            <w:vAlign w:val="center"/>
          </w:tcPr>
          <w:p>
            <w:pPr>
              <w:spacing w:after="20"/>
            </w:pPr>
            <w:r>
              <w:rPr>
                <w:rFonts w:ascii="Arial" w:hAnsi="Arial"/>
                <w:sz w:val="16"/>
              </w:rPr>
              <w:t>servicesetu/cards.py</w:t>
            </w:r>
          </w:p>
        </w:tc>
        <w:tc>
          <w:tcPr>
            <w:tcW w:type="dxa" w:w="6264"/>
            <w:vAlign w:val="center"/>
          </w:tcPr>
          <w:p>
            <w:pPr>
              <w:spacing w:after="20"/>
            </w:pPr>
            <w:r>
              <w:rPr>
                <w:rFonts w:ascii="Arial" w:hAnsi="Arial"/>
                <w:sz w:val="16"/>
              </w:rPr>
              <w:t>Renders consent fallback, honest payment/provider labels, lifecycle actions and history.</w:t>
            </w:r>
          </w:p>
        </w:tc>
      </w:tr>
      <w:tr>
        <w:trPr>
          <w:cantSplit/>
        </w:trPr>
        <w:tc>
          <w:tcPr>
            <w:tcW w:type="dxa" w:w="3672"/>
            <w:vAlign w:val="center"/>
          </w:tcPr>
          <w:p>
            <w:pPr>
              <w:spacing w:after="20"/>
            </w:pPr>
            <w:r>
              <w:rPr>
                <w:rFonts w:ascii="Arial" w:hAnsi="Arial"/>
                <w:sz w:val="16"/>
              </w:rPr>
              <w:t>servicesetu/communications.py</w:t>
            </w:r>
          </w:p>
        </w:tc>
        <w:tc>
          <w:tcPr>
            <w:tcW w:type="dxa" w:w="6264"/>
            <w:vAlign w:val="center"/>
          </w:tcPr>
          <w:p>
            <w:pPr>
              <w:spacing w:after="20"/>
            </w:pPr>
            <w:r>
              <w:rPr>
                <w:rFonts w:ascii="Arial" w:hAnsi="Arial"/>
                <w:sz w:val="16"/>
              </w:rPr>
              <w:t>Fails closed when report encryption key is unavailable.</w:t>
            </w:r>
          </w:p>
        </w:tc>
      </w:tr>
      <w:tr>
        <w:trPr>
          <w:cantSplit/>
        </w:trPr>
        <w:tc>
          <w:tcPr>
            <w:tcW w:type="dxa" w:w="3672"/>
            <w:vAlign w:val="center"/>
          </w:tcPr>
          <w:p>
            <w:pPr>
              <w:spacing w:after="20"/>
            </w:pPr>
            <w:r>
              <w:rPr>
                <w:rFonts w:ascii="Arial" w:hAnsi="Arial"/>
                <w:sz w:val="16"/>
              </w:rPr>
              <w:t>servicesetu/conversation.py</w:t>
            </w:r>
          </w:p>
        </w:tc>
        <w:tc>
          <w:tcPr>
            <w:tcW w:type="dxa" w:w="6264"/>
            <w:vAlign w:val="center"/>
          </w:tcPr>
          <w:p>
            <w:pPr>
              <w:spacing w:after="20"/>
            </w:pPr>
            <w:r>
              <w:rPr>
                <w:rFonts w:ascii="Arial" w:hAnsi="Arial"/>
                <w:sz w:val="16"/>
              </w:rPr>
              <w:t>Adds owned status, payment refresh, completion review, reports and checkout resume.</w:t>
            </w:r>
          </w:p>
        </w:tc>
      </w:tr>
      <w:tr>
        <w:trPr>
          <w:cantSplit/>
        </w:trPr>
        <w:tc>
          <w:tcPr>
            <w:tcW w:type="dxa" w:w="3672"/>
            <w:vAlign w:val="center"/>
          </w:tcPr>
          <w:p>
            <w:pPr>
              <w:spacing w:after="20"/>
            </w:pPr>
            <w:r>
              <w:rPr>
                <w:rFonts w:ascii="Arial" w:hAnsi="Arial"/>
                <w:sz w:val="16"/>
              </w:rPr>
              <w:t>servicesetu/core.py</w:t>
            </w:r>
          </w:p>
        </w:tc>
        <w:tc>
          <w:tcPr>
            <w:tcW w:type="dxa" w:w="6264"/>
            <w:vAlign w:val="center"/>
          </w:tcPr>
          <w:p>
            <w:pPr>
              <w:spacing w:after="20"/>
            </w:pPr>
            <w:r>
              <w:rPr>
                <w:rFonts w:ascii="Arial" w:hAnsi="Arial"/>
                <w:sz w:val="16"/>
              </w:rPr>
              <w:t>Persists payment modes/notices/gateway operations; enforces quote, actor, hold and settlement safeguards.</w:t>
            </w:r>
          </w:p>
        </w:tc>
      </w:tr>
      <w:tr>
        <w:trPr>
          <w:cantSplit/>
        </w:trPr>
        <w:tc>
          <w:tcPr>
            <w:tcW w:type="dxa" w:w="3672"/>
            <w:vAlign w:val="center"/>
          </w:tcPr>
          <w:p>
            <w:pPr>
              <w:spacing w:after="20"/>
            </w:pPr>
            <w:r>
              <w:rPr>
                <w:rFonts w:ascii="Arial" w:hAnsi="Arial"/>
                <w:sz w:val="16"/>
              </w:rPr>
              <w:t>servicesetu/mesh.py</w:t>
            </w:r>
          </w:p>
        </w:tc>
        <w:tc>
          <w:tcPr>
            <w:tcW w:type="dxa" w:w="6264"/>
            <w:vAlign w:val="center"/>
          </w:tcPr>
          <w:p>
            <w:pPr>
              <w:spacing w:after="20"/>
            </w:pPr>
            <w:r>
              <w:rPr>
                <w:rFonts w:ascii="Arial" w:hAnsi="Arial"/>
                <w:sz w:val="16"/>
              </w:rPr>
              <w:t>Enforces customer/session payment ownership; sends durable notices and monitors both test rails.</w:t>
            </w:r>
          </w:p>
        </w:tc>
      </w:tr>
      <w:tr>
        <w:trPr>
          <w:cantSplit/>
        </w:trPr>
        <w:tc>
          <w:tcPr>
            <w:tcW w:type="dxa" w:w="3672"/>
            <w:vAlign w:val="center"/>
          </w:tcPr>
          <w:p>
            <w:pPr>
              <w:spacing w:after="20"/>
            </w:pPr>
            <w:r>
              <w:rPr>
                <w:rFonts w:ascii="Arial" w:hAnsi="Arial"/>
                <w:sz w:val="16"/>
              </w:rPr>
              <w:t>servicesetu/notifications.py</w:t>
            </w:r>
          </w:p>
        </w:tc>
        <w:tc>
          <w:tcPr>
            <w:tcW w:type="dxa" w:w="6264"/>
            <w:vAlign w:val="center"/>
          </w:tcPr>
          <w:p>
            <w:pPr>
              <w:spacing w:after="20"/>
            </w:pPr>
            <w:r>
              <w:rPr>
                <w:rFonts w:ascii="Arial" w:hAnsi="Arial"/>
                <w:sz w:val="16"/>
              </w:rPr>
              <w:t>Retries booking/payment notices to their original conversation.</w:t>
            </w:r>
          </w:p>
        </w:tc>
      </w:tr>
      <w:tr>
        <w:trPr>
          <w:cantSplit/>
        </w:trPr>
        <w:tc>
          <w:tcPr>
            <w:tcW w:type="dxa" w:w="3672"/>
            <w:vAlign w:val="center"/>
          </w:tcPr>
          <w:p>
            <w:pPr>
              <w:spacing w:after="20"/>
            </w:pPr>
            <w:r>
              <w:rPr>
                <w:rFonts w:ascii="Arial" w:hAnsi="Arial"/>
                <w:sz w:val="16"/>
              </w:rPr>
              <w:t>servicesetu/payments.py</w:t>
            </w:r>
          </w:p>
        </w:tc>
        <w:tc>
          <w:tcPr>
            <w:tcW w:type="dxa" w:w="6264"/>
            <w:vAlign w:val="center"/>
          </w:tcPr>
          <w:p>
            <w:pPr>
              <w:spacing w:after="20"/>
            </w:pPr>
            <w:r>
              <w:rPr>
                <w:rFonts w:ascii="Arial" w:hAnsi="Arial"/>
                <w:sz w:val="16"/>
              </w:rPr>
              <w:t>Hardens mock/Stripe retries, reconciliation, rail selection and compensation.</w:t>
            </w:r>
          </w:p>
        </w:tc>
      </w:tr>
      <w:tr>
        <w:trPr>
          <w:cantSplit/>
        </w:trPr>
        <w:tc>
          <w:tcPr>
            <w:tcW w:type="dxa" w:w="3672"/>
            <w:vAlign w:val="center"/>
          </w:tcPr>
          <w:p>
            <w:pPr>
              <w:spacing w:after="20"/>
            </w:pPr>
            <w:r>
              <w:rPr>
                <w:rFonts w:ascii="Arial" w:hAnsi="Arial"/>
                <w:sz w:val="16"/>
              </w:rPr>
              <w:t>servicesetu/provider_inbox.py</w:t>
            </w:r>
          </w:p>
        </w:tc>
        <w:tc>
          <w:tcPr>
            <w:tcW w:type="dxa" w:w="6264"/>
            <w:vAlign w:val="center"/>
          </w:tcPr>
          <w:p>
            <w:pPr>
              <w:spacing w:after="20"/>
            </w:pPr>
            <w:r>
              <w:rPr>
                <w:rFonts w:ascii="Arial" w:hAnsi="Arial"/>
                <w:sz w:val="16"/>
              </w:rPr>
              <w:t>Saves provider access token in a private ignored file instead of printing it.</w:t>
            </w:r>
          </w:p>
        </w:tc>
      </w:tr>
      <w:tr>
        <w:trPr>
          <w:cantSplit/>
        </w:trPr>
        <w:tc>
          <w:tcPr>
            <w:tcW w:type="dxa" w:w="3672"/>
            <w:vAlign w:val="center"/>
          </w:tcPr>
          <w:p>
            <w:pPr>
              <w:spacing w:after="20"/>
            </w:pPr>
            <w:r>
              <w:rPr>
                <w:rFonts w:ascii="Arial" w:hAnsi="Arial"/>
                <w:sz w:val="16"/>
              </w:rPr>
              <w:t>servicesetu/service.py</w:t>
            </w:r>
          </w:p>
        </w:tc>
        <w:tc>
          <w:tcPr>
            <w:tcW w:type="dxa" w:w="6264"/>
            <w:vAlign w:val="center"/>
          </w:tcPr>
          <w:p>
            <w:pPr>
              <w:spacing w:after="20"/>
            </w:pPr>
            <w:r>
              <w:rPr>
                <w:rFonts w:ascii="Arial" w:hAnsi="Arial"/>
                <w:sz w:val="16"/>
              </w:rPr>
              <w:t>Routes authorized booking report and payment refresh operations.</w:t>
            </w:r>
          </w:p>
        </w:tc>
      </w:tr>
      <w:tr>
        <w:trPr>
          <w:cantSplit/>
        </w:trPr>
        <w:tc>
          <w:tcPr>
            <w:tcW w:type="dxa" w:w="3672"/>
            <w:vAlign w:val="center"/>
          </w:tcPr>
          <w:p>
            <w:pPr>
              <w:spacing w:after="20"/>
            </w:pPr>
            <w:r>
              <w:rPr>
                <w:rFonts w:ascii="Arial" w:hAnsi="Arial"/>
                <w:sz w:val="16"/>
              </w:rPr>
              <w:t>servicesetu/operator.py</w:t>
            </w:r>
          </w:p>
        </w:tc>
        <w:tc>
          <w:tcPr>
            <w:tcW w:type="dxa" w:w="6264"/>
            <w:vAlign w:val="center"/>
          </w:tcPr>
          <w:p>
            <w:pPr>
              <w:spacing w:after="20"/>
            </w:pPr>
            <w:r>
              <w:rPr>
                <w:rFonts w:ascii="Arial" w:hAnsi="Arial"/>
                <w:sz w:val="16"/>
              </w:rPr>
              <w:t>Adds private pilot import, queue, acceptance, cancellation and report-review commands.</w:t>
            </w:r>
          </w:p>
        </w:tc>
      </w:tr>
      <w:tr>
        <w:trPr>
          <w:cantSplit/>
        </w:trPr>
        <w:tc>
          <w:tcPr>
            <w:tcW w:type="dxa" w:w="3672"/>
            <w:vAlign w:val="center"/>
          </w:tcPr>
          <w:p>
            <w:pPr>
              <w:spacing w:after="20"/>
            </w:pPr>
            <w:r>
              <w:rPr>
                <w:rFonts w:ascii="Arial" w:hAnsi="Arial"/>
                <w:sz w:val="16"/>
              </w:rPr>
              <w:t>servicesetu/problems.py</w:t>
            </w:r>
          </w:p>
        </w:tc>
        <w:tc>
          <w:tcPr>
            <w:tcW w:type="dxa" w:w="6264"/>
            <w:vAlign w:val="center"/>
          </w:tcPr>
          <w:p>
            <w:pPr>
              <w:spacing w:after="20"/>
            </w:pPr>
            <w:r>
              <w:rPr>
                <w:rFonts w:ascii="Arial" w:hAnsi="Arial"/>
                <w:sz w:val="16"/>
              </w:rPr>
              <w:t>Adds encrypted booking-linked problem reports and operator acknowledgement.</w:t>
            </w:r>
          </w:p>
        </w:tc>
      </w:tr>
      <w:tr>
        <w:trPr>
          <w:cantSplit/>
        </w:trPr>
        <w:tc>
          <w:tcPr>
            <w:tcW w:type="dxa" w:w="3672"/>
            <w:vAlign w:val="center"/>
          </w:tcPr>
          <w:p>
            <w:pPr>
              <w:spacing w:after="20"/>
            </w:pPr>
            <w:r>
              <w:rPr>
                <w:rFonts w:ascii="Arial" w:hAnsi="Arial"/>
                <w:sz w:val="16"/>
              </w:rPr>
              <w:t>servicesetu/razorpay_payments.py</w:t>
            </w:r>
          </w:p>
        </w:tc>
        <w:tc>
          <w:tcPr>
            <w:tcW w:type="dxa" w:w="6264"/>
            <w:vAlign w:val="center"/>
          </w:tcPr>
          <w:p>
            <w:pPr>
              <w:spacing w:after="20"/>
            </w:pPr>
            <w:r>
              <w:rPr>
                <w:rFonts w:ascii="Arial" w:hAnsi="Arial"/>
                <w:sz w:val="16"/>
              </w:rPr>
              <w:t>Adds Razorpay TEST hosted link creation, reuse, capture polling and idempotent refund handling.</w:t>
            </w:r>
          </w:p>
        </w:tc>
      </w:tr>
      <w:tr>
        <w:trPr>
          <w:cantSplit/>
        </w:trPr>
        <w:tc>
          <w:tcPr>
            <w:tcW w:type="dxa" w:w="3672"/>
            <w:vAlign w:val="center"/>
          </w:tcPr>
          <w:p>
            <w:pPr>
              <w:spacing w:after="20"/>
            </w:pPr>
            <w:r>
              <w:rPr>
                <w:rFonts w:ascii="Arial" w:hAnsi="Arial"/>
                <w:sz w:val="16"/>
              </w:rPr>
              <w:t>servicesetu/stripe_check.py</w:t>
            </w:r>
          </w:p>
        </w:tc>
        <w:tc>
          <w:tcPr>
            <w:tcW w:type="dxa" w:w="6264"/>
            <w:vAlign w:val="center"/>
          </w:tcPr>
          <w:p>
            <w:pPr>
              <w:spacing w:after="20"/>
            </w:pPr>
            <w:r>
              <w:rPr>
                <w:rFonts w:ascii="Arial" w:hAnsi="Arial"/>
                <w:sz w:val="16"/>
              </w:rPr>
              <w:t>Adds read-only Stripe test authentication preflight; refuses live-mode confirmation.</w:t>
            </w:r>
          </w:p>
        </w:tc>
      </w:tr>
      <w:tr>
        <w:trPr>
          <w:cantSplit/>
        </w:trPr>
        <w:tc>
          <w:tcPr>
            <w:tcW w:type="dxa" w:w="3672"/>
            <w:vAlign w:val="center"/>
          </w:tcPr>
          <w:p>
            <w:pPr>
              <w:spacing w:after="20"/>
            </w:pPr>
            <w:r>
              <w:rPr>
                <w:rFonts w:ascii="Arial" w:hAnsi="Arial"/>
                <w:sz w:val="16"/>
              </w:rPr>
              <w:t>servicesetu/transport.py</w:t>
            </w:r>
          </w:p>
        </w:tc>
        <w:tc>
          <w:tcPr>
            <w:tcW w:type="dxa" w:w="6264"/>
            <w:vAlign w:val="center"/>
          </w:tcPr>
          <w:p>
            <w:pPr>
              <w:spacing w:after="20"/>
            </w:pPr>
            <w:r>
              <w:rPr>
                <w:rFonts w:ascii="Arial" w:hAnsi="Arial"/>
                <w:sz w:val="16"/>
              </w:rPr>
              <w:t>Retries transient customer replies with the same message ID without repeating booking/payment actions.</w:t>
            </w:r>
          </w:p>
        </w:tc>
      </w:tr>
      <w:tr>
        <w:trPr>
          <w:cantSplit/>
        </w:trPr>
        <w:tc>
          <w:tcPr>
            <w:tcW w:type="dxa" w:w="3672"/>
            <w:vAlign w:val="center"/>
          </w:tcPr>
          <w:p>
            <w:pPr>
              <w:spacing w:after="20"/>
            </w:pPr>
            <w:r>
              <w:rPr>
                <w:rFonts w:ascii="Arial" w:hAnsi="Arial"/>
                <w:sz w:val="16"/>
              </w:rPr>
              <w:t>tests/test_razorpay.py</w:t>
            </w:r>
          </w:p>
        </w:tc>
        <w:tc>
          <w:tcPr>
            <w:tcW w:type="dxa" w:w="6264"/>
            <w:vAlign w:val="center"/>
          </w:tcPr>
          <w:p>
            <w:pPr>
              <w:spacing w:after="20"/>
            </w:pPr>
            <w:r>
              <w:rPr>
                <w:rFonts w:ascii="Arial" w:hAnsi="Arial"/>
                <w:sz w:val="16"/>
              </w:rPr>
              <w:t>Adds 14 Razorpay API-double boundary tests.</w:t>
            </w:r>
          </w:p>
        </w:tc>
      </w:tr>
      <w:tr>
        <w:trPr>
          <w:cantSplit/>
        </w:trPr>
        <w:tc>
          <w:tcPr>
            <w:tcW w:type="dxa" w:w="3672"/>
            <w:vAlign w:val="center"/>
          </w:tcPr>
          <w:p>
            <w:pPr>
              <w:spacing w:after="20"/>
            </w:pPr>
            <w:r>
              <w:rPr>
                <w:rFonts w:ascii="Arial" w:hAnsi="Arial"/>
                <w:sz w:val="16"/>
              </w:rPr>
              <w:t>tests/test_workflow_hardening.py</w:t>
            </w:r>
          </w:p>
        </w:tc>
        <w:tc>
          <w:tcPr>
            <w:tcW w:type="dxa" w:w="6264"/>
            <w:vAlign w:val="center"/>
          </w:tcPr>
          <w:p>
            <w:pPr>
              <w:spacing w:after="20"/>
            </w:pPr>
            <w:r>
              <w:rPr>
                <w:rFonts w:ascii="Arial" w:hAnsi="Arial"/>
                <w:sz w:val="16"/>
              </w:rPr>
              <w:t>Adds 32 booking, payment, ownership, notification, problem and pilot tests.</w:t>
            </w:r>
          </w:p>
        </w:tc>
      </w:tr>
      <w:tr>
        <w:trPr>
          <w:cantSplit/>
        </w:trPr>
        <w:tc>
          <w:tcPr>
            <w:tcW w:type="dxa" w:w="3672"/>
            <w:vAlign w:val="center"/>
          </w:tcPr>
          <w:p>
            <w:pPr>
              <w:spacing w:after="20"/>
            </w:pPr>
            <w:r>
              <w:rPr>
                <w:rFonts w:ascii="Arial" w:hAnsi="Arial"/>
                <w:sz w:val="16"/>
              </w:rPr>
              <w:t>deliverables/ServiceSetu_Changes_and_Handoff.docx</w:t>
            </w:r>
          </w:p>
        </w:tc>
        <w:tc>
          <w:tcPr>
            <w:tcW w:type="dxa" w:w="6264"/>
            <w:vAlign w:val="center"/>
          </w:tcPr>
          <w:p>
            <w:pPr>
              <w:spacing w:after="20"/>
            </w:pPr>
            <w:r>
              <w:rPr>
                <w:rFonts w:ascii="Arial" w:hAnsi="Arial"/>
                <w:sz w:val="16"/>
              </w:rPr>
              <w:t>This refreshed implementation and verification handoff.</w:t>
            </w:r>
          </w:p>
        </w:tc>
      </w:tr>
    </w:tbl>
    <w:p>
      <w:r>
        <w:t>The pre-existing deliverables/ServiceSetu_Laptop_Handoff.docx was left unchanged. No commit or GitHub push was made.</w:t>
      </w:r>
    </w:p>
    <w:p>
      <w:pPr>
        <w:pStyle w:val="Heading1"/>
      </w:pPr>
      <w:r>
        <w:t>Verification evidence</w:t>
      </w:r>
    </w:p>
    <w:tbl>
      <w:tblPr>
        <w:tblStyle w:val="LightShading-Accent1"/>
        <w:tblW w:type="auto" w:w="0"/>
        <w:jc w:val="center"/>
        <w:tblLook w:firstColumn="1" w:firstRow="1" w:lastColumn="0" w:lastRow="0" w:noHBand="0" w:noVBand="1" w:val="04A0"/>
      </w:tblPr>
      <w:tblGrid>
        <w:gridCol w:w="5040"/>
        <w:gridCol w:w="5040"/>
      </w:tblGrid>
      <w:tr>
        <w:trPr>
          <w:cantSplit/>
          <w:tblHeader/>
        </w:trPr>
        <w:tc>
          <w:tcPr>
            <w:tcW w:type="dxa" w:w="3312"/>
            <w:vAlign w:val="center"/>
            <w:shd w:fill="1F4E78"/>
          </w:tcPr>
          <w:p>
            <w:pPr>
              <w:spacing w:after="20"/>
            </w:pPr>
            <w:r>
              <w:rPr>
                <w:rFonts w:ascii="Arial" w:hAnsi="Arial"/>
                <w:b/>
                <w:color w:val="FFFFFF"/>
                <w:sz w:val="16"/>
              </w:rPr>
              <w:t>Check</w:t>
            </w:r>
          </w:p>
        </w:tc>
        <w:tc>
          <w:tcPr>
            <w:tcW w:type="dxa" w:w="6624"/>
            <w:vAlign w:val="center"/>
            <w:shd w:fill="1F4E78"/>
          </w:tcPr>
          <w:p>
            <w:pPr>
              <w:spacing w:after="20"/>
            </w:pPr>
            <w:r>
              <w:rPr>
                <w:rFonts w:ascii="Arial" w:hAnsi="Arial"/>
                <w:b/>
                <w:color w:val="FFFFFF"/>
                <w:sz w:val="16"/>
              </w:rPr>
              <w:t>Observed result</w:t>
            </w:r>
          </w:p>
        </w:tc>
      </w:tr>
      <w:tr>
        <w:trPr>
          <w:cantSplit/>
        </w:trPr>
        <w:tc>
          <w:tcPr>
            <w:tcW w:type="dxa" w:w="3312"/>
            <w:vAlign w:val="center"/>
          </w:tcPr>
          <w:p>
            <w:pPr>
              <w:spacing w:after="20"/>
            </w:pPr>
            <w:r>
              <w:rPr>
                <w:rFonts w:ascii="Arial" w:hAnsi="Arial"/>
                <w:sz w:val="16"/>
              </w:rPr>
              <w:t>Final local unit/proof report</w:t>
            </w:r>
          </w:p>
        </w:tc>
        <w:tc>
          <w:tcPr>
            <w:tcW w:type="dxa" w:w="6624"/>
            <w:vAlign w:val="center"/>
          </w:tcPr>
          <w:p>
            <w:pPr>
              <w:spacing w:after="20"/>
            </w:pPr>
            <w:r>
              <w:rPr>
                <w:rFonts w:ascii="Arial" w:hAnsi="Arial"/>
                <w:sz w:val="16"/>
              </w:rPr>
              <w:t>280 passed · 0 failed · 0 skipped</w:t>
            </w:r>
          </w:p>
        </w:tc>
      </w:tr>
      <w:tr>
        <w:trPr>
          <w:cantSplit/>
        </w:trPr>
        <w:tc>
          <w:tcPr>
            <w:tcW w:type="dxa" w:w="3312"/>
            <w:vAlign w:val="center"/>
          </w:tcPr>
          <w:p>
            <w:pPr>
              <w:spacing w:after="20"/>
            </w:pPr>
            <w:r>
              <w:rPr>
                <w:rFonts w:ascii="Arial" w:hAnsi="Arial"/>
                <w:sz w:val="16"/>
              </w:rPr>
              <w:t>Local uAgent workflows</w:t>
            </w:r>
          </w:p>
        </w:tc>
        <w:tc>
          <w:tcPr>
            <w:tcW w:type="dxa" w:w="6624"/>
            <w:vAlign w:val="center"/>
          </w:tcPr>
          <w:p>
            <w:pPr>
              <w:spacing w:after="20"/>
            </w:pPr>
            <w:r>
              <w:rPr>
                <w:rFonts w:ascii="Arial" w:hAnsi="Arial"/>
                <w:sz w:val="16"/>
              </w:rPr>
              <w:t>14 passed</w:t>
            </w:r>
          </w:p>
        </w:tc>
      </w:tr>
      <w:tr>
        <w:trPr>
          <w:cantSplit/>
        </w:trPr>
        <w:tc>
          <w:tcPr>
            <w:tcW w:type="dxa" w:w="3312"/>
            <w:vAlign w:val="center"/>
          </w:tcPr>
          <w:p>
            <w:pPr>
              <w:spacing w:after="20"/>
            </w:pPr>
            <w:r>
              <w:rPr>
                <w:rFonts w:ascii="Arial" w:hAnsi="Arial"/>
                <w:sz w:val="16"/>
              </w:rPr>
              <w:t>Proof artifact</w:t>
            </w:r>
          </w:p>
        </w:tc>
        <w:tc>
          <w:tcPr>
            <w:tcW w:type="dxa" w:w="6624"/>
            <w:vAlign w:val="center"/>
          </w:tcPr>
          <w:p>
            <w:pPr>
              <w:spacing w:after="20"/>
            </w:pPr>
            <w:r>
              <w:rPr>
                <w:rFonts w:ascii="Arial" w:hAnsi="Arial"/>
                <w:sz w:val="16"/>
              </w:rPr>
              <w:t>artifacts/local/proof-results.json: passed=true; mesh=passed</w:t>
            </w:r>
          </w:p>
        </w:tc>
      </w:tr>
      <w:tr>
        <w:trPr>
          <w:cantSplit/>
        </w:trPr>
        <w:tc>
          <w:tcPr>
            <w:tcW w:type="dxa" w:w="3312"/>
            <w:vAlign w:val="center"/>
          </w:tcPr>
          <w:p>
            <w:pPr>
              <w:spacing w:after="20"/>
            </w:pPr>
            <w:r>
              <w:rPr>
                <w:rFonts w:ascii="Arial" w:hAnsi="Arial"/>
                <w:sz w:val="16"/>
              </w:rPr>
              <w:t>Razorpay adapter tests</w:t>
            </w:r>
          </w:p>
        </w:tc>
        <w:tc>
          <w:tcPr>
            <w:tcW w:type="dxa" w:w="6624"/>
            <w:vAlign w:val="center"/>
          </w:tcPr>
          <w:p>
            <w:pPr>
              <w:spacing w:after="20"/>
            </w:pPr>
            <w:r>
              <w:rPr>
                <w:rFonts w:ascii="Arial" w:hAnsi="Arial"/>
                <w:sz w:val="16"/>
              </w:rPr>
              <w:t>14 API-double tests included in the 280; no live gateway calls</w:t>
            </w:r>
          </w:p>
        </w:tc>
      </w:tr>
      <w:tr>
        <w:trPr>
          <w:cantSplit/>
        </w:trPr>
        <w:tc>
          <w:tcPr>
            <w:tcW w:type="dxa" w:w="3312"/>
            <w:vAlign w:val="center"/>
          </w:tcPr>
          <w:p>
            <w:pPr>
              <w:spacing w:after="20"/>
            </w:pPr>
            <w:r>
              <w:rPr>
                <w:rFonts w:ascii="Arial" w:hAnsi="Arial"/>
                <w:sz w:val="16"/>
              </w:rPr>
              <w:t>Whitespace</w:t>
            </w:r>
          </w:p>
        </w:tc>
        <w:tc>
          <w:tcPr>
            <w:tcW w:type="dxa" w:w="6624"/>
            <w:vAlign w:val="center"/>
          </w:tcPr>
          <w:p>
            <w:pPr>
              <w:spacing w:after="20"/>
            </w:pPr>
            <w:r>
              <w:rPr>
                <w:rFonts w:ascii="Arial" w:hAnsi="Arial"/>
                <w:sz w:val="16"/>
              </w:rPr>
              <w:t>git diff --check passed during final implementation review</w:t>
            </w:r>
          </w:p>
        </w:tc>
      </w:tr>
      <w:tr>
        <w:trPr>
          <w:cantSplit/>
        </w:trPr>
        <w:tc>
          <w:tcPr>
            <w:tcW w:type="dxa" w:w="3312"/>
            <w:vAlign w:val="center"/>
          </w:tcPr>
          <w:p>
            <w:pPr>
              <w:spacing w:after="20"/>
            </w:pPr>
            <w:r>
              <w:rPr>
                <w:rFonts w:ascii="Arial" w:hAnsi="Arial"/>
                <w:sz w:val="16"/>
              </w:rPr>
              <w:t>Live Razorpay</w:t>
            </w:r>
          </w:p>
        </w:tc>
        <w:tc>
          <w:tcPr>
            <w:tcW w:type="dxa" w:w="6624"/>
            <w:vAlign w:val="center"/>
          </w:tcPr>
          <w:p>
            <w:pPr>
              <w:spacing w:after="20"/>
            </w:pPr>
            <w:r>
              <w:rPr>
                <w:rFonts w:ascii="Arial" w:hAnsi="Arial"/>
                <w:sz w:val="16"/>
              </w:rPr>
              <w:t>Not run: test key ID and secret are both absent</w:t>
            </w:r>
          </w:p>
        </w:tc>
      </w:tr>
      <w:tr>
        <w:trPr>
          <w:cantSplit/>
        </w:trPr>
        <w:tc>
          <w:tcPr>
            <w:tcW w:type="dxa" w:w="3312"/>
            <w:vAlign w:val="center"/>
          </w:tcPr>
          <w:p>
            <w:pPr>
              <w:spacing w:after="20"/>
            </w:pPr>
            <w:r>
              <w:rPr>
                <w:rFonts w:ascii="Arial" w:hAnsi="Arial"/>
                <w:sz w:val="16"/>
              </w:rPr>
              <w:t>Final full ASI:One recovery</w:t>
            </w:r>
          </w:p>
        </w:tc>
        <w:tc>
          <w:tcPr>
            <w:tcW w:type="dxa" w:w="6624"/>
            <w:vAlign w:val="center"/>
          </w:tcPr>
          <w:p>
            <w:pPr>
              <w:spacing w:after="20"/>
            </w:pPr>
            <w:r>
              <w:rPr>
                <w:rFonts w:ascii="Arial" w:hAnsi="Arial"/>
                <w:sz w:val="16"/>
              </w:rPr>
              <w:t>Incomplete live; replacement approval/confirmation/history not observed</w:t>
            </w:r>
          </w:p>
        </w:tc>
      </w:tr>
    </w:tbl>
    <w:p>
      <w:r>
        <w:t>The baseline 234-test suite passed after loopback socket access was enabled; four initial inbox HTTP errors were sandbox bind restrictions. The final proof run was performed after implementation and completed 280 scenarios in 25.164 seconds. Local API doubles and uAgent dispatch do not prove checkout rendering or gateway settlement.</w:t>
      </w:r>
    </w:p>
    <w:p>
      <w:pPr>
        <w:pStyle w:val="Heading1"/>
      </w:pPr>
      <w:r>
        <w:t>Live ASI:One observations</w:t>
      </w:r>
    </w:p>
    <w:p>
      <w:r>
        <w:t>Rendered customer responses observed in the signed-in existing Concierge chat: provider comparison, quote review, simulated-payment confirmation, provider cancellation with “refunded / Simulated payment · no gateway charge”, and a same-constraint replacement option. The mock booking had a corresponding booking_confirmed event and later provider_cancelled and customer_cancelled events in SQLite; the payment row separately showed the mock rail as refunded. These backend records are independent evidence from the rendered cards.</w:t>
      </w:r>
    </w:p>
    <w:p>
      <w:r>
        <w:t>The replacement card was visible, but its quote expired before approval. A fresh recovery action created new request/quote/recovery records in the backend. The active mailbox repeatedly logged Almanac destination resolution/timeouts and failed Agentverse message delivery; the fresh reply did not render. Therefore no replacement approval or confirmation event was recorded, and no complete history response was observed. A later mock-mode run must use a fresh database/hold and an available Agentverse route.</w:t>
      </w:r>
    </w:p>
    <w:p>
      <w:pPr>
        <w:pStyle w:val="Heading1"/>
      </w:pPr>
      <w:r>
        <w:t>Razorpay setup and limits</w:t>
      </w:r>
    </w:p>
    <w:p>
      <w:r>
        <w:t>Configure these names privately in .env only when using Razorpay TEST:</w:t>
      </w:r>
    </w:p>
    <w:p>
      <w:pPr>
        <w:ind w:left="360"/>
      </w:pPr>
      <w:r>
        <w:rPr>
          <w:rFonts w:ascii="Courier New" w:hAnsi="Courier New"/>
          <w:sz w:val="17"/>
        </w:rPr>
        <w:t>PAYMENT_MODE=razorpay_test</w:t>
      </w:r>
    </w:p>
    <w:p>
      <w:pPr>
        <w:ind w:left="360"/>
      </w:pPr>
      <w:r>
        <w:rPr>
          <w:rFonts w:ascii="Courier New" w:hAnsi="Courier New"/>
          <w:sz w:val="17"/>
        </w:rPr>
        <w:t>RAZORPAY_KEY_ID=rzp_test_…</w:t>
      </w:r>
    </w:p>
    <w:p>
      <w:pPr>
        <w:ind w:left="360"/>
      </w:pPr>
      <w:r>
        <w:rPr>
          <w:rFonts w:ascii="Courier New" w:hAnsi="Courier New"/>
          <w:sz w:val="17"/>
        </w:rPr>
        <w:t>RAZORPAY_KEY_SECRET=&lt;private test secret&gt;</w:t>
      </w:r>
    </w:p>
    <w:p>
      <w:pPr>
        <w:ind w:left="360"/>
      </w:pPr>
      <w:r>
        <w:rPr>
          <w:rFonts w:ascii="Courier New" w:hAnsi="Courier New"/>
          <w:sz w:val="17"/>
        </w:rPr>
        <w:t>SERVICESETU_DB=data/judging-demo.db</w:t>
      </w:r>
    </w:p>
    <w:p>
      <w:pPr>
        <w:ind w:left="360"/>
      </w:pPr>
      <w:r>
        <w:rPr>
          <w:rFonts w:ascii="Courier New" w:hAnsi="Courier New"/>
          <w:sz w:val="17"/>
        </w:rPr>
        <w:t>SERVICESETU_MAILBOX=true</w:t>
      </w:r>
    </w:p>
    <w:p>
      <w:r>
        <w:t>Run .venv/bin/python -m servicesetu.razorpay_payments for read-only TEST authentication. It must not print key or balance values and does not create a payment. Restart exactly one mailbox mesh after changing configuration. Razorpay creates a hosted Payment Link; the customer leaves ASI:One to enter payment details and returns to the same conversation for “check payment”. No SMS/email contact values are sent. No actual Razorpay authentication, capture, server confirmation or refund was performed because both Razorpay fields were empty.</w:t>
      </w:r>
    </w:p>
    <w:p>
      <w:r>
        <w:t>Optional Stripe TEST variable names: PAYMENT_MODE=stripe_test, STRIPE_SECRET_KEY, STRIPE_PUBLISHABLE_KEY (STRIPE_RETURN_URL is a legacy unused setting). Other existing private runtime names are ASI1_API_KEY, ASI1_MODEL, AGENTVERSE_API_KEY, SERVICESETU_SEED and DEMO_CONTROL_TOKEN. Preserve the registered seed; do not include any values in a handoff. Read-only preflight: .venv/bin/python -m servicesetu.stripe_check. Stripe keys were also absent at inspection. Mock mode uses PAYMENT_MODE=mock and needs no payment credentials. Preserve existing SERVICESETU_SEED and Agentverse config; never place keys in chat, command arguments, logs, screenshots or commits.</w:t>
      </w:r>
    </w:p>
    <w:p>
      <w:pPr>
        <w:pStyle w:val="Heading1"/>
      </w:pPr>
      <w:r>
        <w:t>Official hackathon requirement</w:t>
      </w:r>
    </w:p>
    <w:p>
      <w:r>
        <w:t>The current official Fetch-A-Thon 3.0 hackpack requires a project to be discoverable and usable through ASI:One, use ACP, and “complete the primary user workflow entirely within an ASI:One conversation”. Payment Protocol use is a bonus criterion. Razorpay’s external hosted checkout conflicts with the mandatory all-in-chat workflow if presented as the primary payment step. For the qualifying end-to-end demo, use mock mode: it shows a simulated payment and keeps all customer actions in the chat. Demonstrate Razorpay separately as an external TEST integration, and describe that boundary plainly.</w:t>
      </w:r>
    </w:p>
    <w:p>
      <w:r>
        <w:t xml:space="preserve">Official hackpack: </w:t>
      </w:r>
      <w:hyperlink r:id="rId11">
        <w:r>
          <w:rPr>
            <w:color w:val="0563C1"/>
            <w:u w:val="single"/>
          </w:rPr>
          <w:t>Fetch-A-Thon 3.0 rules and deliverables</w:t>
        </w:r>
      </w:hyperlink>
    </w:p>
    <w:p>
      <w:pPr>
        <w:pStyle w:val="Heading1"/>
      </w:pPr>
      <w:r>
        <w:t>Exact all-in-chat mock demo</w:t>
      </w:r>
    </w:p>
    <w:p>
      <w:pPr>
        <w:pStyle w:val="ListNumber"/>
      </w:pPr>
      <w:r>
        <w:t>Install/run proofs: uv pip install --python .venv/bin/python -e ".[fetch,communications]"; then .venv/bin/python -m servicesetu prove.</w:t>
      </w:r>
    </w:p>
    <w:p>
      <w:pPr>
        <w:pStyle w:val="ListNumber"/>
      </w:pPr>
      <w:r>
        <w:t>Create a fresh synthetic database: .venv/bin/python -m servicesetu seed-demo --db data/judging-demo.db --days 3.</w:t>
      </w:r>
    </w:p>
    <w:p>
      <w:pPr>
        <w:pStyle w:val="ListNumber"/>
      </w:pPr>
      <w:r>
        <w:t>Privately set SERVICESETU_DB=data/judging-demo.db, SERVICESETU_MAILBOX=true and PAYMENT_MODE=mock in .env. Leave existing SERVICESETU_SEED and Agentverse values unchanged.</w:t>
      </w:r>
    </w:p>
    <w:p>
      <w:pPr>
        <w:pStyle w:val="ListNumber"/>
      </w:pPr>
      <w:r>
        <w:t>Start one mesh: .venv/bin/python -m servicesetu mesh. Open the existing ServiceSetu Concierge in ASI:One and direct the chat to @servicesetu.</w:t>
      </w:r>
    </w:p>
    <w:p>
      <w:pPr>
        <w:pStyle w:val="ListNumber"/>
      </w:pPr>
      <w:r>
        <w:t>Send: AC service in Indiranagar Bengaluru tomorrow 10am under INR 1000. Compare eligible providers and select Review quote. Add a fictional visit address or Skip for now.</w:t>
      </w:r>
    </w:p>
    <w:p>
      <w:pPr>
        <w:pStyle w:val="ListNumber"/>
      </w:pPr>
      <w:r>
        <w:t>Read scope, exclusions, appointment, price, cancellation terms and hold deadline. Explicitly select Approve test payment (or use the exact approve BOOKING_ID QUOTE_ID TOKEN shown in the card). Confirm the response says “Simulated payment · no gateway charge”.</w:t>
      </w:r>
    </w:p>
    <w:p>
      <w:pPr>
        <w:pStyle w:val="ListNumber"/>
      </w:pPr>
      <w:r>
        <w:t>For the cancellation demonstration, use the displayed synthetic booking ID: .venv/bin/python scripts/cancel_provider.py p1 BOOKING_ID. Read the cancellation notice and mock refund status in ASI:One.</w:t>
      </w:r>
    </w:p>
    <w:p>
      <w:pPr>
        <w:pStyle w:val="ListNumber"/>
      </w:pPr>
      <w:r>
        <w:t>Choose Find replacements while the hold/quote is still valid. Review the new provider/quote, explicitly approve the fresh quote and confirm the new simulated booking.</w:t>
      </w:r>
    </w:p>
    <w:p>
      <w:pPr>
        <w:pStyle w:val="ListNumber"/>
      </w:pPr>
      <w:r>
        <w:t>Send show what happened and verify the original cancellation, reversal, replacement proposal, new approval and confirmation in the conversation history.</w:t>
      </w:r>
    </w:p>
    <w:p>
      <w:pPr>
        <w:pStyle w:val="ListNumber"/>
      </w:pPr>
      <w:r>
        <w:t>Optional lifecycle demo: message provider: Please use the fictional side gate. Then show messages, Confirm completion, and Report a problem. These require no actual customer data.</w:t>
      </w:r>
    </w:p>
    <w:p>
      <w:r>
        <w:t>Use a fresh database for each complete demo. Holds are short. The previous live replacement could not proceed because its offer had expired by the time it was selected for review; the runbook now calls for reviewing and approving the fresh offer while its hold is active. If Agentverse delivery is degraded, status/recover can only help when the route is available; local proof is not a substitute for observing the card in ASI:One.</w:t>
      </w:r>
    </w:p>
    <w:p>
      <w:pPr>
        <w:pStyle w:val="Heading1"/>
      </w:pPr>
      <w:r>
        <w:t>Pilot operator responsibilities</w:t>
      </w:r>
    </w:p>
    <w:p>
      <w:r>
        <w:t>No provider has joined. A trusted operator must first obtain one plumber/repair shop owner’s permission, agree the exact work scope/exclusions/parts policy/total price, service area, time slots, cancellation contact, customer information sharing, local inbox access, completion/problem process and stop procedure. Keep the agreement reference private.</w:t>
      </w:r>
    </w:p>
    <w:p>
      <w:r>
        <w:t>The operator creates data/pilot-provider.json from the deliberately incomplete template in docs/demo-pilot-runbook.md. Only enter truthful manual checked_items, future timezone-qualified slots, actual coverage and agreed amounts. Import to an isolated pilot DB with: .venv/bin/python -m servicesetu.operator --db data/pilot.db import-pilot --config data/pilot-provider.json. Confirm exact held booking/quote availability with the provider, then record provider acceptance with the operator accept command. Customer approval remains separate and must happen within the hold.</w:t>
      </w:r>
    </w:p>
    <w:p>
      <w:r>
        <w:t>For confirmed visits, the operator starts the local provider inbox and shares its private token only with the assigned business on the supervised machine. The operator handles cancellation entry, reviews private encrypted report exports, acknowledges receipt and coordinates next steps. Acknowledgement is not a resolution or refund. The customer confirms completion in ASI:One. This pilot has no public provider portal, remote production hosting or independent identity verification.</w:t>
      </w:r>
    </w:p>
    <w:p>
      <w:pPr>
        <w:pStyle w:val="Heading1"/>
      </w:pPr>
      <w:r>
        <w:t>Remaining blockers</w:t>
      </w:r>
    </w:p>
    <w:p>
      <w:pPr>
        <w:pStyle w:val="ListBullet"/>
      </w:pPr>
      <w:r>
        <w:t>Razorpay test credentials are not configured: RAZORPAY_KEY_ID and RAZORPAY_KEY_SECRET are missing. Thus test authentication, hosted checkout, capture confirmation, retries against Razorpay and actual test refunds remain unverified.</w:t>
      </w:r>
    </w:p>
    <w:p>
      <w:pPr>
        <w:pStyle w:val="ListBullet"/>
      </w:pPr>
      <w:r>
        <w:t>The live ASI:One replacement offer expired before approval; fresh recovery delivery timed out. Replacement approval, replacement confirmation and final history have not been observed live.</w:t>
      </w:r>
    </w:p>
    <w:p>
      <w:pPr>
        <w:pStyle w:val="ListBullet"/>
      </w:pPr>
      <w:r>
        <w:t>Razorpay hosted checkout opens outside ASI:One. Use the mock mode for the hackathon’s mandatory complete in-chat workflow; a truly embedded Razorpay checkout would require different approved support/client integration.</w:t>
      </w:r>
    </w:p>
    <w:p>
      <w:pPr>
        <w:pStyle w:val="ListBullet"/>
      </w:pPr>
      <w:r>
        <w:t>No real local provider agreement, service list, prices, coverage, availability or booking acceptance was obtained. The pilot needs these operator/provider actions.</w:t>
      </w:r>
    </w:p>
    <w:p>
      <w:pPr>
        <w:pStyle w:val="ListBullet"/>
      </w:pPr>
      <w:r>
        <w:t>Completion, provider messaging and problem acknowledgement are implemented and locally tested; full live UI acceptance remains unobserved.</w:t>
      </w:r>
    </w:p>
    <w:p>
      <w:pPr>
        <w:pStyle w:val="ListBullet"/>
      </w:pPr>
      <w:r>
        <w:t>All changes remain local and uncommitted. Historical registration evidence from October 13 was not rechecked during finalization.</w:t>
      </w:r>
    </w:p>
    <w:p>
      <w:r>
        <w:t>No actual gateway transaction, real service, real-provider verification, production readiness or GitHub publication is claimed.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 xml:space="preserve">Local implementation notes · 23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rial" w:hAnsi="Arial"/>
        <w:color w:val="5A6978"/>
        <w:sz w:val="16"/>
      </w:rPr>
      <w:t>SERVICESETU  /  IMPLEMENTATION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232B3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1618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Arial" w:hAnsi="Arial"/>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onlab.fetch.ai/events/hackathons/fetch-a-thon-3/hackp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