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ServiceSetu Changes and Handoff</w:t>
      </w:r>
    </w:p>
    <w:p>
      <w:r>
        <w:t>Final update 23 October 2026  ·  Existing ServiceSetu repository</w:t>
      </w:r>
    </w:p>
    <w:p>
      <w:r>
        <w:t>This handoff records the implementation, verified tests, successful signed-in ASI:One mock demonstration, shareable conversation, setup steps, remaining payment limits and pilot responsibilities. The chat uses only fictional demo providers and synthetic booking details. This local copy contains a private conversation link; it is not included in the pushed commit.</w:t>
      </w:r>
    </w:p>
    <w:p>
      <w:pPr>
        <w:pStyle w:val="Heading1"/>
      </w:pPr>
      <w:r>
        <w:t>Current status</w:t>
      </w:r>
    </w:p>
    <w:p>
      <w:r>
        <w:t>Local verification records 280 of 280 checks passed, with zero failures or skips, plus 14 of 14 local uAgent workflows passed. The signed-in ASI:One customer chat also completed the full mock lifecycle and rendered the combined booking history. The payment was simulated and created no gateway charge; this does not establish any Stripe or Razorpay transaction.</w:t>
      </w:r>
    </w:p>
    <w:p>
      <w:r>
        <w:t>The changes were committed as 2e0cfea and pushed to origin/main. Existing seed, registered agent identities, provider role names and architecture were preserved. No provider was contacted or joined. Changes cover booking/payment lifecycle, provider/pilot operation, tests and documentation.</w:t>
      </w:r>
    </w:p>
    <w:p>
      <w:pPr>
        <w:pStyle w:val="Heading1"/>
      </w:pPr>
      <w:r>
        <w:t>What changed</w:t>
      </w:r>
    </w:p>
    <w:p>
      <w:r>
        <w:t>The customer flow now binds review, consent, payment and confirmation to the same current quote. Payment rail and gateway operation references persist across retries; expired holds cannot confirm; late capture needs test-mode compensation. Customer status cards expose messages, completion, history, report-a-problem, checkout resume and payment refresh. Reports are encrypted and linked to a booking, with private operator review and acknowledgement. A trusted operator can configure one willing plumbing business under existing identity p4 in an isolated database; the pilot label lists only actual manual checks and fictional providers are not used as real alternatives.</w:t>
      </w:r>
    </w:p>
    <w:p>
      <w:r>
        <w:t>Razorpay was added as test-only Payment Link checkout. It is an external hosted page, not a native ASI:One payment card. The customer returns to the same chat and sends “check payment”; the server reads and verifies the payment status. Stripe TEST remains optional and embedded. Mock payments are simulated and cause no gateway charge.</w:t>
      </w:r>
    </w:p>
    <w:p>
      <w:pPr>
        <w:pStyle w:val="Heading1"/>
      </w:pPr>
      <w:r>
        <w:t>Changed files and purpose</w:t>
      </w:r>
    </w:p>
    <w:tbl>
      <w:tblPr>
        <w:tblStyle w:val="LightShading-Accent1"/>
        <w:tblW w:type="auto" w:w="0"/>
        <w:jc w:val="center"/>
        <w:tblLook w:firstColumn="1" w:firstRow="1" w:lastColumn="0" w:lastRow="0" w:noHBand="0" w:noVBand="1" w:val="04A0"/>
      </w:tblPr>
      <w:tblGrid>
        <w:gridCol w:w="5040"/>
        <w:gridCol w:w="5040"/>
      </w:tblGrid>
      <w:tr>
        <w:trPr>
          <w:cantSplit/>
          <w:tblHeader/>
        </w:trPr>
        <w:tc>
          <w:tcPr>
            <w:tcW w:type="dxa" w:w="3672"/>
            <w:vAlign w:val="center"/>
            <w:shd w:fill="1F4E78"/>
          </w:tcPr>
          <w:p>
            <w:pPr>
              <w:spacing w:after="20"/>
            </w:pPr>
            <w:r>
              <w:rPr>
                <w:rFonts w:ascii="Arial" w:hAnsi="Arial"/>
                <w:b/>
                <w:color w:val="FFFFFF"/>
                <w:sz w:val="16"/>
              </w:rPr>
              <w:t>File</w:t>
            </w:r>
          </w:p>
        </w:tc>
        <w:tc>
          <w:tcPr>
            <w:tcW w:type="dxa" w:w="6264"/>
            <w:vAlign w:val="center"/>
            <w:shd w:fill="1F4E78"/>
          </w:tcPr>
          <w:p>
            <w:pPr>
              <w:spacing w:after="20"/>
            </w:pPr>
            <w:r>
              <w:rPr>
                <w:rFonts w:ascii="Arial" w:hAnsi="Arial"/>
                <w:b/>
                <w:color w:val="FFFFFF"/>
                <w:sz w:val="16"/>
              </w:rPr>
              <w:t>Purpose</w:t>
            </w:r>
          </w:p>
        </w:tc>
      </w:tr>
      <w:tr>
        <w:trPr>
          <w:cantSplit/>
        </w:trPr>
        <w:tc>
          <w:tcPr>
            <w:tcW w:type="dxa" w:w="3672"/>
            <w:vAlign w:val="center"/>
          </w:tcPr>
          <w:p>
            <w:pPr>
              <w:spacing w:after="20"/>
            </w:pPr>
            <w:r>
              <w:rPr>
                <w:rFonts w:ascii="Arial" w:hAnsi="Arial"/>
                <w:sz w:val="16"/>
              </w:rPr>
              <w:t>.env.example</w:t>
            </w:r>
          </w:p>
        </w:tc>
        <w:tc>
          <w:tcPr>
            <w:tcW w:type="dxa" w:w="6264"/>
            <w:vAlign w:val="center"/>
          </w:tcPr>
          <w:p>
            <w:pPr>
              <w:spacing w:after="20"/>
            </w:pPr>
            <w:r>
              <w:rPr>
                <w:rFonts w:ascii="Arial" w:hAnsi="Arial"/>
                <w:sz w:val="16"/>
              </w:rPr>
              <w:t>Names and comments for mock, Razorpay TEST and optional Stripe TEST settings.</w:t>
            </w:r>
          </w:p>
        </w:tc>
      </w:tr>
      <w:tr>
        <w:trPr>
          <w:cantSplit/>
        </w:trPr>
        <w:tc>
          <w:tcPr>
            <w:tcW w:type="dxa" w:w="3672"/>
            <w:vAlign w:val="center"/>
          </w:tcPr>
          <w:p>
            <w:pPr>
              <w:spacing w:after="20"/>
            </w:pPr>
            <w:r>
              <w:rPr>
                <w:rFonts w:ascii="Arial" w:hAnsi="Arial"/>
                <w:sz w:val="16"/>
              </w:rPr>
              <w:t>.gitignore</w:t>
            </w:r>
          </w:p>
        </w:tc>
        <w:tc>
          <w:tcPr>
            <w:tcW w:type="dxa" w:w="6264"/>
            <w:vAlign w:val="center"/>
          </w:tcPr>
          <w:p>
            <w:pPr>
              <w:spacing w:after="20"/>
            </w:pPr>
            <w:r>
              <w:rPr>
                <w:rFonts w:ascii="Arial" w:hAnsi="Arial"/>
                <w:sz w:val="16"/>
              </w:rPr>
              <w:t>Ignores private provider inbox token files.</w:t>
            </w:r>
          </w:p>
        </w:tc>
      </w:tr>
      <w:tr>
        <w:trPr>
          <w:cantSplit/>
        </w:trPr>
        <w:tc>
          <w:tcPr>
            <w:tcW w:type="dxa" w:w="3672"/>
            <w:vAlign w:val="center"/>
          </w:tcPr>
          <w:p>
            <w:pPr>
              <w:spacing w:after="20"/>
            </w:pPr>
            <w:r>
              <w:rPr>
                <w:rFonts w:ascii="Arial" w:hAnsi="Arial"/>
                <w:sz w:val="16"/>
              </w:rPr>
              <w:t>README.md</w:t>
            </w:r>
          </w:p>
        </w:tc>
        <w:tc>
          <w:tcPr>
            <w:tcW w:type="dxa" w:w="6264"/>
            <w:vAlign w:val="center"/>
          </w:tcPr>
          <w:p>
            <w:pPr>
              <w:spacing w:after="20"/>
            </w:pPr>
            <w:r>
              <w:rPr>
                <w:rFonts w:ascii="Arial" w:hAnsi="Arial"/>
                <w:sz w:val="16"/>
              </w:rPr>
              <w:t>Updates payment modes, safeguards, test counts and runbook links.</w:t>
            </w:r>
          </w:p>
        </w:tc>
      </w:tr>
      <w:tr>
        <w:trPr>
          <w:cantSplit/>
        </w:trPr>
        <w:tc>
          <w:tcPr>
            <w:tcW w:type="dxa" w:w="3672"/>
            <w:vAlign w:val="center"/>
          </w:tcPr>
          <w:p>
            <w:pPr>
              <w:spacing w:after="20"/>
            </w:pPr>
            <w:r>
              <w:rPr>
                <w:rFonts w:ascii="Arial" w:hAnsi="Arial"/>
                <w:sz w:val="16"/>
              </w:rPr>
              <w:t>docs/acceptance-audit.md</w:t>
            </w:r>
          </w:p>
        </w:tc>
        <w:tc>
          <w:tcPr>
            <w:tcW w:type="dxa" w:w="6264"/>
            <w:vAlign w:val="center"/>
          </w:tcPr>
          <w:p>
            <w:pPr>
              <w:spacing w:after="20"/>
            </w:pPr>
            <w:r>
              <w:rPr>
                <w:rFonts w:ascii="Arial" w:hAnsi="Arial"/>
                <w:sz w:val="16"/>
              </w:rPr>
              <w:t>Records the new acceptance and evidence boundary.</w:t>
            </w:r>
          </w:p>
        </w:tc>
      </w:tr>
      <w:tr>
        <w:trPr>
          <w:cantSplit/>
        </w:trPr>
        <w:tc>
          <w:tcPr>
            <w:tcW w:type="dxa" w:w="3672"/>
            <w:vAlign w:val="center"/>
          </w:tcPr>
          <w:p>
            <w:pPr>
              <w:spacing w:after="20"/>
            </w:pPr>
            <w:r>
              <w:rPr>
                <w:rFonts w:ascii="Arial" w:hAnsi="Arial"/>
                <w:sz w:val="16"/>
              </w:rPr>
              <w:t>docs/booking-communications.md</w:t>
            </w:r>
          </w:p>
        </w:tc>
        <w:tc>
          <w:tcPr>
            <w:tcW w:type="dxa" w:w="6264"/>
            <w:vAlign w:val="center"/>
          </w:tcPr>
          <w:p>
            <w:pPr>
              <w:spacing w:after="20"/>
            </w:pPr>
            <w:r>
              <w:rPr>
                <w:rFonts w:ascii="Arial" w:hAnsi="Arial"/>
                <w:sz w:val="16"/>
              </w:rPr>
              <w:t>Documents booking-linked communications behavior.</w:t>
            </w:r>
          </w:p>
        </w:tc>
      </w:tr>
      <w:tr>
        <w:trPr>
          <w:cantSplit/>
        </w:trPr>
        <w:tc>
          <w:tcPr>
            <w:tcW w:type="dxa" w:w="3672"/>
            <w:vAlign w:val="center"/>
          </w:tcPr>
          <w:p>
            <w:pPr>
              <w:spacing w:after="20"/>
            </w:pPr>
            <w:r>
              <w:rPr>
                <w:rFonts w:ascii="Arial" w:hAnsi="Arial"/>
                <w:sz w:val="16"/>
              </w:rPr>
              <w:t>docs/submission.md</w:t>
            </w:r>
          </w:p>
        </w:tc>
        <w:tc>
          <w:tcPr>
            <w:tcW w:type="dxa" w:w="6264"/>
            <w:vAlign w:val="center"/>
          </w:tcPr>
          <w:p>
            <w:pPr>
              <w:spacing w:after="20"/>
            </w:pPr>
            <w:r>
              <w:rPr>
                <w:rFonts w:ascii="Arial" w:hAnsi="Arial"/>
                <w:sz w:val="16"/>
              </w:rPr>
              <w:t>Current local/live acceptance checklist and unresolved checkout constraint.</w:t>
            </w:r>
          </w:p>
        </w:tc>
      </w:tr>
      <w:tr>
        <w:trPr>
          <w:cantSplit/>
        </w:trPr>
        <w:tc>
          <w:tcPr>
            <w:tcW w:type="dxa" w:w="3672"/>
            <w:vAlign w:val="center"/>
          </w:tcPr>
          <w:p>
            <w:pPr>
              <w:spacing w:after="20"/>
            </w:pPr>
            <w:r>
              <w:rPr>
                <w:rFonts w:ascii="Arial" w:hAnsi="Arial"/>
                <w:sz w:val="16"/>
              </w:rPr>
              <w:t>docs/demo-pilot-runbook.md</w:t>
            </w:r>
          </w:p>
        </w:tc>
        <w:tc>
          <w:tcPr>
            <w:tcW w:type="dxa" w:w="6264"/>
            <w:vAlign w:val="center"/>
          </w:tcPr>
          <w:p>
            <w:pPr>
              <w:spacing w:after="20"/>
            </w:pPr>
            <w:r>
              <w:rPr>
                <w:rFonts w:ascii="Arial" w:hAnsi="Arial"/>
                <w:sz w:val="16"/>
              </w:rPr>
              <w:t>Exact demo, gateway setup, one-provider pilot configuration and operator steps.</w:t>
            </w:r>
          </w:p>
        </w:tc>
      </w:tr>
      <w:tr>
        <w:trPr>
          <w:cantSplit/>
        </w:trPr>
        <w:tc>
          <w:tcPr>
            <w:tcW w:type="dxa" w:w="3672"/>
            <w:vAlign w:val="center"/>
          </w:tcPr>
          <w:p>
            <w:pPr>
              <w:spacing w:after="20"/>
            </w:pPr>
            <w:r>
              <w:rPr>
                <w:rFonts w:ascii="Arial" w:hAnsi="Arial"/>
                <w:sz w:val="16"/>
              </w:rPr>
              <w:t>pyproject.toml</w:t>
            </w:r>
          </w:p>
        </w:tc>
        <w:tc>
          <w:tcPr>
            <w:tcW w:type="dxa" w:w="6264"/>
            <w:vAlign w:val="center"/>
          </w:tcPr>
          <w:p>
            <w:pPr>
              <w:spacing w:after="20"/>
            </w:pPr>
            <w:r>
              <w:rPr>
                <w:rFonts w:ascii="Arial" w:hAnsi="Arial"/>
                <w:sz w:val="16"/>
              </w:rPr>
              <w:t>Includes messaging crypto dependency in the fetch installation extra.</w:t>
            </w:r>
          </w:p>
        </w:tc>
      </w:tr>
      <w:tr>
        <w:trPr>
          <w:cantSplit/>
        </w:trPr>
        <w:tc>
          <w:tcPr>
            <w:tcW w:type="dxa" w:w="3672"/>
            <w:vAlign w:val="center"/>
          </w:tcPr>
          <w:p>
            <w:pPr>
              <w:spacing w:after="20"/>
            </w:pPr>
            <w:r>
              <w:rPr>
                <w:rFonts w:ascii="Arial" w:hAnsi="Arial"/>
                <w:sz w:val="16"/>
              </w:rPr>
              <w:t>servicesetu/__main__.py</w:t>
            </w:r>
          </w:p>
        </w:tc>
        <w:tc>
          <w:tcPr>
            <w:tcW w:type="dxa" w:w="6264"/>
            <w:vAlign w:val="center"/>
          </w:tcPr>
          <w:p>
            <w:pPr>
              <w:spacing w:after="20"/>
            </w:pPr>
            <w:r>
              <w:rPr>
                <w:rFonts w:ascii="Arial" w:hAnsi="Arial"/>
                <w:sz w:val="16"/>
              </w:rPr>
              <w:t>Includes plumbing in the local mesh proof scenarios.</w:t>
            </w:r>
          </w:p>
        </w:tc>
      </w:tr>
      <w:tr>
        <w:trPr>
          <w:cantSplit/>
        </w:trPr>
        <w:tc>
          <w:tcPr>
            <w:tcW w:type="dxa" w:w="3672"/>
            <w:vAlign w:val="center"/>
          </w:tcPr>
          <w:p>
            <w:pPr>
              <w:spacing w:after="20"/>
            </w:pPr>
            <w:r>
              <w:rPr>
                <w:rFonts w:ascii="Arial" w:hAnsi="Arial"/>
                <w:sz w:val="16"/>
              </w:rPr>
              <w:t>servicesetu/cards.py</w:t>
            </w:r>
          </w:p>
        </w:tc>
        <w:tc>
          <w:tcPr>
            <w:tcW w:type="dxa" w:w="6264"/>
            <w:vAlign w:val="center"/>
          </w:tcPr>
          <w:p>
            <w:pPr>
              <w:spacing w:after="20"/>
            </w:pPr>
            <w:r>
              <w:rPr>
                <w:rFonts w:ascii="Arial" w:hAnsi="Arial"/>
                <w:sz w:val="16"/>
              </w:rPr>
              <w:t>Renders consent fallback, honest payment/provider labels, lifecycle actions and history.</w:t>
            </w:r>
          </w:p>
        </w:tc>
      </w:tr>
      <w:tr>
        <w:trPr>
          <w:cantSplit/>
        </w:trPr>
        <w:tc>
          <w:tcPr>
            <w:tcW w:type="dxa" w:w="3672"/>
            <w:vAlign w:val="center"/>
          </w:tcPr>
          <w:p>
            <w:pPr>
              <w:spacing w:after="20"/>
            </w:pPr>
            <w:r>
              <w:rPr>
                <w:rFonts w:ascii="Arial" w:hAnsi="Arial"/>
                <w:sz w:val="16"/>
              </w:rPr>
              <w:t>servicesetu/communications.py</w:t>
            </w:r>
          </w:p>
        </w:tc>
        <w:tc>
          <w:tcPr>
            <w:tcW w:type="dxa" w:w="6264"/>
            <w:vAlign w:val="center"/>
          </w:tcPr>
          <w:p>
            <w:pPr>
              <w:spacing w:after="20"/>
            </w:pPr>
            <w:r>
              <w:rPr>
                <w:rFonts w:ascii="Arial" w:hAnsi="Arial"/>
                <w:sz w:val="16"/>
              </w:rPr>
              <w:t>Fails closed when report encryption key is unavailable.</w:t>
            </w:r>
          </w:p>
        </w:tc>
      </w:tr>
      <w:tr>
        <w:trPr>
          <w:cantSplit/>
        </w:trPr>
        <w:tc>
          <w:tcPr>
            <w:tcW w:type="dxa" w:w="3672"/>
            <w:vAlign w:val="center"/>
          </w:tcPr>
          <w:p>
            <w:pPr>
              <w:spacing w:after="20"/>
            </w:pPr>
            <w:r>
              <w:rPr>
                <w:rFonts w:ascii="Arial" w:hAnsi="Arial"/>
                <w:sz w:val="16"/>
              </w:rPr>
              <w:t>servicesetu/conversation.py</w:t>
            </w:r>
          </w:p>
        </w:tc>
        <w:tc>
          <w:tcPr>
            <w:tcW w:type="dxa" w:w="6264"/>
            <w:vAlign w:val="center"/>
          </w:tcPr>
          <w:p>
            <w:pPr>
              <w:spacing w:after="20"/>
            </w:pPr>
            <w:r>
              <w:rPr>
                <w:rFonts w:ascii="Arial" w:hAnsi="Arial"/>
                <w:sz w:val="16"/>
              </w:rPr>
              <w:t>Adds owned status, payment refresh, completion review, reports and checkout resume.</w:t>
            </w:r>
          </w:p>
        </w:tc>
      </w:tr>
      <w:tr>
        <w:trPr>
          <w:cantSplit/>
        </w:trPr>
        <w:tc>
          <w:tcPr>
            <w:tcW w:type="dxa" w:w="3672"/>
            <w:vAlign w:val="center"/>
          </w:tcPr>
          <w:p>
            <w:pPr>
              <w:spacing w:after="20"/>
            </w:pPr>
            <w:r>
              <w:rPr>
                <w:rFonts w:ascii="Arial" w:hAnsi="Arial"/>
                <w:sz w:val="16"/>
              </w:rPr>
              <w:t>servicesetu/core.py</w:t>
            </w:r>
          </w:p>
        </w:tc>
        <w:tc>
          <w:tcPr>
            <w:tcW w:type="dxa" w:w="6264"/>
            <w:vAlign w:val="center"/>
          </w:tcPr>
          <w:p>
            <w:pPr>
              <w:spacing w:after="20"/>
            </w:pPr>
            <w:r>
              <w:rPr>
                <w:rFonts w:ascii="Arial" w:hAnsi="Arial"/>
                <w:sz w:val="16"/>
              </w:rPr>
              <w:t>Persists payment modes/notices/gateway operations; enforces quote, actor, hold and settlement safeguards.</w:t>
            </w:r>
          </w:p>
        </w:tc>
      </w:tr>
      <w:tr>
        <w:trPr>
          <w:cantSplit/>
        </w:trPr>
        <w:tc>
          <w:tcPr>
            <w:tcW w:type="dxa" w:w="3672"/>
            <w:vAlign w:val="center"/>
          </w:tcPr>
          <w:p>
            <w:pPr>
              <w:spacing w:after="20"/>
            </w:pPr>
            <w:r>
              <w:rPr>
                <w:rFonts w:ascii="Arial" w:hAnsi="Arial"/>
                <w:sz w:val="16"/>
              </w:rPr>
              <w:t>servicesetu/mesh.py</w:t>
            </w:r>
          </w:p>
        </w:tc>
        <w:tc>
          <w:tcPr>
            <w:tcW w:type="dxa" w:w="6264"/>
            <w:vAlign w:val="center"/>
          </w:tcPr>
          <w:p>
            <w:pPr>
              <w:spacing w:after="20"/>
            </w:pPr>
            <w:r>
              <w:rPr>
                <w:rFonts w:ascii="Arial" w:hAnsi="Arial"/>
                <w:sz w:val="16"/>
              </w:rPr>
              <w:t>Enforces customer/session payment ownership; sends durable notices and monitors both test rails.</w:t>
            </w:r>
          </w:p>
        </w:tc>
      </w:tr>
      <w:tr>
        <w:trPr>
          <w:cantSplit/>
        </w:trPr>
        <w:tc>
          <w:tcPr>
            <w:tcW w:type="dxa" w:w="3672"/>
            <w:vAlign w:val="center"/>
          </w:tcPr>
          <w:p>
            <w:pPr>
              <w:spacing w:after="20"/>
            </w:pPr>
            <w:r>
              <w:rPr>
                <w:rFonts w:ascii="Arial" w:hAnsi="Arial"/>
                <w:sz w:val="16"/>
              </w:rPr>
              <w:t>servicesetu/notifications.py</w:t>
            </w:r>
          </w:p>
        </w:tc>
        <w:tc>
          <w:tcPr>
            <w:tcW w:type="dxa" w:w="6264"/>
            <w:vAlign w:val="center"/>
          </w:tcPr>
          <w:p>
            <w:pPr>
              <w:spacing w:after="20"/>
            </w:pPr>
            <w:r>
              <w:rPr>
                <w:rFonts w:ascii="Arial" w:hAnsi="Arial"/>
                <w:sz w:val="16"/>
              </w:rPr>
              <w:t>Retries booking/payment notices to their original conversation.</w:t>
            </w:r>
          </w:p>
        </w:tc>
      </w:tr>
      <w:tr>
        <w:trPr>
          <w:cantSplit/>
        </w:trPr>
        <w:tc>
          <w:tcPr>
            <w:tcW w:type="dxa" w:w="3672"/>
            <w:vAlign w:val="center"/>
          </w:tcPr>
          <w:p>
            <w:pPr>
              <w:spacing w:after="20"/>
            </w:pPr>
            <w:r>
              <w:rPr>
                <w:rFonts w:ascii="Arial" w:hAnsi="Arial"/>
                <w:sz w:val="16"/>
              </w:rPr>
              <w:t>servicesetu/payments.py</w:t>
            </w:r>
          </w:p>
        </w:tc>
        <w:tc>
          <w:tcPr>
            <w:tcW w:type="dxa" w:w="6264"/>
            <w:vAlign w:val="center"/>
          </w:tcPr>
          <w:p>
            <w:pPr>
              <w:spacing w:after="20"/>
            </w:pPr>
            <w:r>
              <w:rPr>
                <w:rFonts w:ascii="Arial" w:hAnsi="Arial"/>
                <w:sz w:val="16"/>
              </w:rPr>
              <w:t>Hardens mock/Stripe retries, reconciliation, rail selection and compensation.</w:t>
            </w:r>
          </w:p>
        </w:tc>
      </w:tr>
      <w:tr>
        <w:trPr>
          <w:cantSplit/>
        </w:trPr>
        <w:tc>
          <w:tcPr>
            <w:tcW w:type="dxa" w:w="3672"/>
            <w:vAlign w:val="center"/>
          </w:tcPr>
          <w:p>
            <w:pPr>
              <w:spacing w:after="20"/>
            </w:pPr>
            <w:r>
              <w:rPr>
                <w:rFonts w:ascii="Arial" w:hAnsi="Arial"/>
                <w:sz w:val="16"/>
              </w:rPr>
              <w:t>servicesetu/provider_inbox.py</w:t>
            </w:r>
          </w:p>
        </w:tc>
        <w:tc>
          <w:tcPr>
            <w:tcW w:type="dxa" w:w="6264"/>
            <w:vAlign w:val="center"/>
          </w:tcPr>
          <w:p>
            <w:pPr>
              <w:spacing w:after="20"/>
            </w:pPr>
            <w:r>
              <w:rPr>
                <w:rFonts w:ascii="Arial" w:hAnsi="Arial"/>
                <w:sz w:val="16"/>
              </w:rPr>
              <w:t>Saves provider access token in a private ignored file instead of printing it.</w:t>
            </w:r>
          </w:p>
        </w:tc>
      </w:tr>
      <w:tr>
        <w:trPr>
          <w:cantSplit/>
        </w:trPr>
        <w:tc>
          <w:tcPr>
            <w:tcW w:type="dxa" w:w="3672"/>
            <w:vAlign w:val="center"/>
          </w:tcPr>
          <w:p>
            <w:pPr>
              <w:spacing w:after="20"/>
            </w:pPr>
            <w:r>
              <w:rPr>
                <w:rFonts w:ascii="Arial" w:hAnsi="Arial"/>
                <w:sz w:val="16"/>
              </w:rPr>
              <w:t>servicesetu/service.py</w:t>
            </w:r>
          </w:p>
        </w:tc>
        <w:tc>
          <w:tcPr>
            <w:tcW w:type="dxa" w:w="6264"/>
            <w:vAlign w:val="center"/>
          </w:tcPr>
          <w:p>
            <w:pPr>
              <w:spacing w:after="20"/>
            </w:pPr>
            <w:r>
              <w:rPr>
                <w:rFonts w:ascii="Arial" w:hAnsi="Arial"/>
                <w:sz w:val="16"/>
              </w:rPr>
              <w:t>Routes authorized booking report and payment refresh operations.</w:t>
            </w:r>
          </w:p>
        </w:tc>
      </w:tr>
      <w:tr>
        <w:trPr>
          <w:cantSplit/>
        </w:trPr>
        <w:tc>
          <w:tcPr>
            <w:tcW w:type="dxa" w:w="3672"/>
            <w:vAlign w:val="center"/>
          </w:tcPr>
          <w:p>
            <w:pPr>
              <w:spacing w:after="20"/>
            </w:pPr>
            <w:r>
              <w:rPr>
                <w:rFonts w:ascii="Arial" w:hAnsi="Arial"/>
                <w:sz w:val="16"/>
              </w:rPr>
              <w:t>servicesetu/operator.py</w:t>
            </w:r>
          </w:p>
        </w:tc>
        <w:tc>
          <w:tcPr>
            <w:tcW w:type="dxa" w:w="6264"/>
            <w:vAlign w:val="center"/>
          </w:tcPr>
          <w:p>
            <w:pPr>
              <w:spacing w:after="20"/>
            </w:pPr>
            <w:r>
              <w:rPr>
                <w:rFonts w:ascii="Arial" w:hAnsi="Arial"/>
                <w:sz w:val="16"/>
              </w:rPr>
              <w:t>Adds private pilot import, queue, acceptance, cancellation and report-review commands.</w:t>
            </w:r>
          </w:p>
        </w:tc>
      </w:tr>
      <w:tr>
        <w:trPr>
          <w:cantSplit/>
        </w:trPr>
        <w:tc>
          <w:tcPr>
            <w:tcW w:type="dxa" w:w="3672"/>
            <w:vAlign w:val="center"/>
          </w:tcPr>
          <w:p>
            <w:pPr>
              <w:spacing w:after="20"/>
            </w:pPr>
            <w:r>
              <w:rPr>
                <w:rFonts w:ascii="Arial" w:hAnsi="Arial"/>
                <w:sz w:val="16"/>
              </w:rPr>
              <w:t>servicesetu/problems.py</w:t>
            </w:r>
          </w:p>
        </w:tc>
        <w:tc>
          <w:tcPr>
            <w:tcW w:type="dxa" w:w="6264"/>
            <w:vAlign w:val="center"/>
          </w:tcPr>
          <w:p>
            <w:pPr>
              <w:spacing w:after="20"/>
            </w:pPr>
            <w:r>
              <w:rPr>
                <w:rFonts w:ascii="Arial" w:hAnsi="Arial"/>
                <w:sz w:val="16"/>
              </w:rPr>
              <w:t>Adds encrypted booking-linked problem reports and operator acknowledgement.</w:t>
            </w:r>
          </w:p>
        </w:tc>
      </w:tr>
      <w:tr>
        <w:trPr>
          <w:cantSplit/>
        </w:trPr>
        <w:tc>
          <w:tcPr>
            <w:tcW w:type="dxa" w:w="3672"/>
            <w:vAlign w:val="center"/>
          </w:tcPr>
          <w:p>
            <w:pPr>
              <w:spacing w:after="20"/>
            </w:pPr>
            <w:r>
              <w:rPr>
                <w:rFonts w:ascii="Arial" w:hAnsi="Arial"/>
                <w:sz w:val="16"/>
              </w:rPr>
              <w:t>servicesetu/razorpay_payments.py</w:t>
            </w:r>
          </w:p>
        </w:tc>
        <w:tc>
          <w:tcPr>
            <w:tcW w:type="dxa" w:w="6264"/>
            <w:vAlign w:val="center"/>
          </w:tcPr>
          <w:p>
            <w:pPr>
              <w:spacing w:after="20"/>
            </w:pPr>
            <w:r>
              <w:rPr>
                <w:rFonts w:ascii="Arial" w:hAnsi="Arial"/>
                <w:sz w:val="16"/>
              </w:rPr>
              <w:t>Adds Razorpay TEST hosted link creation, reuse, capture polling and idempotent refund handling.</w:t>
            </w:r>
          </w:p>
        </w:tc>
      </w:tr>
      <w:tr>
        <w:trPr>
          <w:cantSplit/>
        </w:trPr>
        <w:tc>
          <w:tcPr>
            <w:tcW w:type="dxa" w:w="3672"/>
            <w:vAlign w:val="center"/>
          </w:tcPr>
          <w:p>
            <w:pPr>
              <w:spacing w:after="20"/>
            </w:pPr>
            <w:r>
              <w:rPr>
                <w:rFonts w:ascii="Arial" w:hAnsi="Arial"/>
                <w:sz w:val="16"/>
              </w:rPr>
              <w:t>servicesetu/stripe_check.py</w:t>
            </w:r>
          </w:p>
        </w:tc>
        <w:tc>
          <w:tcPr>
            <w:tcW w:type="dxa" w:w="6264"/>
            <w:vAlign w:val="center"/>
          </w:tcPr>
          <w:p>
            <w:pPr>
              <w:spacing w:after="20"/>
            </w:pPr>
            <w:r>
              <w:rPr>
                <w:rFonts w:ascii="Arial" w:hAnsi="Arial"/>
                <w:sz w:val="16"/>
              </w:rPr>
              <w:t>Adds read-only Stripe test authentication preflight; refuses live-mode confirmation.</w:t>
            </w:r>
          </w:p>
        </w:tc>
      </w:tr>
      <w:tr>
        <w:trPr>
          <w:cantSplit/>
        </w:trPr>
        <w:tc>
          <w:tcPr>
            <w:tcW w:type="dxa" w:w="3672"/>
            <w:vAlign w:val="center"/>
          </w:tcPr>
          <w:p>
            <w:pPr>
              <w:spacing w:after="20"/>
            </w:pPr>
            <w:r>
              <w:rPr>
                <w:rFonts w:ascii="Arial" w:hAnsi="Arial"/>
                <w:sz w:val="16"/>
              </w:rPr>
              <w:t>servicesetu/transport.py</w:t>
            </w:r>
          </w:p>
        </w:tc>
        <w:tc>
          <w:tcPr>
            <w:tcW w:type="dxa" w:w="6264"/>
            <w:vAlign w:val="center"/>
          </w:tcPr>
          <w:p>
            <w:pPr>
              <w:spacing w:after="20"/>
            </w:pPr>
            <w:r>
              <w:rPr>
                <w:rFonts w:ascii="Arial" w:hAnsi="Arial"/>
                <w:sz w:val="16"/>
              </w:rPr>
              <w:t>Retries transient customer replies with the same message ID without repeating booking/payment actions.</w:t>
            </w:r>
          </w:p>
        </w:tc>
      </w:tr>
      <w:tr>
        <w:trPr>
          <w:cantSplit/>
        </w:trPr>
        <w:tc>
          <w:tcPr>
            <w:tcW w:type="dxa" w:w="3672"/>
            <w:vAlign w:val="center"/>
          </w:tcPr>
          <w:p>
            <w:pPr>
              <w:spacing w:after="20"/>
            </w:pPr>
            <w:r>
              <w:rPr>
                <w:rFonts w:ascii="Arial" w:hAnsi="Arial"/>
                <w:sz w:val="16"/>
              </w:rPr>
              <w:t>tests/test_razorpay.py</w:t>
            </w:r>
          </w:p>
        </w:tc>
        <w:tc>
          <w:tcPr>
            <w:tcW w:type="dxa" w:w="6264"/>
            <w:vAlign w:val="center"/>
          </w:tcPr>
          <w:p>
            <w:pPr>
              <w:spacing w:after="20"/>
            </w:pPr>
            <w:r>
              <w:rPr>
                <w:rFonts w:ascii="Arial" w:hAnsi="Arial"/>
                <w:sz w:val="16"/>
              </w:rPr>
              <w:t>Adds 14 Razorpay API-double boundary tests.</w:t>
            </w:r>
          </w:p>
        </w:tc>
      </w:tr>
      <w:tr>
        <w:trPr>
          <w:cantSplit/>
        </w:trPr>
        <w:tc>
          <w:tcPr>
            <w:tcW w:type="dxa" w:w="3672"/>
            <w:vAlign w:val="center"/>
          </w:tcPr>
          <w:p>
            <w:pPr>
              <w:spacing w:after="20"/>
            </w:pPr>
            <w:r>
              <w:rPr>
                <w:rFonts w:ascii="Arial" w:hAnsi="Arial"/>
                <w:sz w:val="16"/>
              </w:rPr>
              <w:t>tests/test_workflow_hardening.py</w:t>
            </w:r>
          </w:p>
        </w:tc>
        <w:tc>
          <w:tcPr>
            <w:tcW w:type="dxa" w:w="6264"/>
            <w:vAlign w:val="center"/>
          </w:tcPr>
          <w:p>
            <w:pPr>
              <w:spacing w:after="20"/>
            </w:pPr>
            <w:r>
              <w:rPr>
                <w:rFonts w:ascii="Arial" w:hAnsi="Arial"/>
                <w:sz w:val="16"/>
              </w:rPr>
              <w:t>Adds 32 booking, payment, ownership, notification, problem and pilot tests.</w:t>
            </w:r>
          </w:p>
        </w:tc>
      </w:tr>
      <w:tr>
        <w:trPr>
          <w:cantSplit/>
        </w:trPr>
        <w:tc>
          <w:tcPr>
            <w:tcW w:type="dxa" w:w="3672"/>
            <w:vAlign w:val="center"/>
          </w:tcPr>
          <w:p>
            <w:pPr>
              <w:spacing w:after="20"/>
            </w:pPr>
            <w:r>
              <w:rPr>
                <w:rFonts w:ascii="Arial" w:hAnsi="Arial"/>
                <w:sz w:val="16"/>
              </w:rPr>
              <w:t>deliverables/ServiceSetu_Changes_and_Handoff.docx</w:t>
            </w:r>
          </w:p>
        </w:tc>
        <w:tc>
          <w:tcPr>
            <w:tcW w:type="dxa" w:w="6264"/>
            <w:vAlign w:val="center"/>
          </w:tcPr>
          <w:p>
            <w:pPr>
              <w:spacing w:after="20"/>
            </w:pPr>
            <w:r>
              <w:rPr>
                <w:rFonts w:ascii="Arial" w:hAnsi="Arial"/>
                <w:sz w:val="16"/>
              </w:rPr>
              <w:t>This refreshed implementation and verification handoff.</w:t>
            </w:r>
          </w:p>
        </w:tc>
      </w:tr>
    </w:tbl>
    <w:p>
      <w:r>
        <w:t>The pre-existing deliverables/ServiceSetu_Laptop_Handoff.docx was left unchanged and excluded from the push. The private chat URL and recording status below are in this local handoff update only; they were not pushed.</w:t>
      </w:r>
    </w:p>
    <w:p>
      <w:pPr>
        <w:pStyle w:val="Heading1"/>
      </w:pPr>
      <w:r>
        <w:t>Verification evidence</w:t>
      </w:r>
    </w:p>
    <w:tbl>
      <w:tblPr>
        <w:tblStyle w:val="LightShading-Accent1"/>
        <w:tblW w:type="auto" w:w="0"/>
        <w:jc w:val="center"/>
        <w:tblLook w:firstColumn="1" w:firstRow="1" w:lastColumn="0" w:lastRow="0" w:noHBand="0" w:noVBand="1" w:val="04A0"/>
      </w:tblPr>
      <w:tblGrid>
        <w:gridCol w:w="5040"/>
        <w:gridCol w:w="5040"/>
      </w:tblGrid>
      <w:tr>
        <w:trPr>
          <w:cantSplit/>
          <w:tblHeader/>
        </w:trPr>
        <w:tc>
          <w:tcPr>
            <w:tcW w:type="dxa" w:w="3312"/>
            <w:vAlign w:val="center"/>
            <w:shd w:fill="1F4E78"/>
          </w:tcPr>
          <w:p>
            <w:pPr>
              <w:spacing w:after="20"/>
            </w:pPr>
            <w:r>
              <w:rPr>
                <w:rFonts w:ascii="Arial" w:hAnsi="Arial"/>
                <w:b/>
                <w:color w:val="FFFFFF"/>
                <w:sz w:val="16"/>
              </w:rPr>
              <w:t>Check</w:t>
            </w:r>
          </w:p>
        </w:tc>
        <w:tc>
          <w:tcPr>
            <w:tcW w:type="dxa" w:w="6624"/>
            <w:vAlign w:val="center"/>
            <w:shd w:fill="1F4E78"/>
          </w:tcPr>
          <w:p>
            <w:pPr>
              <w:spacing w:after="20"/>
            </w:pPr>
            <w:r>
              <w:rPr>
                <w:rFonts w:ascii="Arial" w:hAnsi="Arial"/>
                <w:b/>
                <w:color w:val="FFFFFF"/>
                <w:sz w:val="16"/>
              </w:rPr>
              <w:t>Observed result</w:t>
            </w:r>
          </w:p>
        </w:tc>
      </w:tr>
      <w:tr>
        <w:trPr>
          <w:cantSplit/>
        </w:trPr>
        <w:tc>
          <w:tcPr>
            <w:tcW w:type="dxa" w:w="3312"/>
            <w:vAlign w:val="center"/>
          </w:tcPr>
          <w:p>
            <w:pPr>
              <w:spacing w:after="20"/>
            </w:pPr>
            <w:r>
              <w:rPr>
                <w:rFonts w:ascii="Arial" w:hAnsi="Arial"/>
                <w:sz w:val="16"/>
              </w:rPr>
              <w:t>Final local unit/proof report</w:t>
            </w:r>
          </w:p>
        </w:tc>
        <w:tc>
          <w:tcPr>
            <w:tcW w:type="dxa" w:w="6624"/>
            <w:vAlign w:val="center"/>
          </w:tcPr>
          <w:p>
            <w:pPr>
              <w:spacing w:after="20"/>
            </w:pPr>
            <w:r>
              <w:rPr>
                <w:rFonts w:ascii="Arial" w:hAnsi="Arial"/>
                <w:sz w:val="16"/>
              </w:rPr>
              <w:t>280 passed · 0 failed · 0 skipped</w:t>
            </w:r>
          </w:p>
        </w:tc>
      </w:tr>
      <w:tr>
        <w:trPr>
          <w:cantSplit/>
        </w:trPr>
        <w:tc>
          <w:tcPr>
            <w:tcW w:type="dxa" w:w="3312"/>
            <w:vAlign w:val="center"/>
          </w:tcPr>
          <w:p>
            <w:pPr>
              <w:spacing w:after="20"/>
            </w:pPr>
            <w:r>
              <w:rPr>
                <w:rFonts w:ascii="Arial" w:hAnsi="Arial"/>
                <w:sz w:val="16"/>
              </w:rPr>
              <w:t>Local uAgent workflows</w:t>
            </w:r>
          </w:p>
        </w:tc>
        <w:tc>
          <w:tcPr>
            <w:tcW w:type="dxa" w:w="6624"/>
            <w:vAlign w:val="center"/>
          </w:tcPr>
          <w:p>
            <w:pPr>
              <w:spacing w:after="20"/>
            </w:pPr>
            <w:r>
              <w:rPr>
                <w:rFonts w:ascii="Arial" w:hAnsi="Arial"/>
                <w:sz w:val="16"/>
              </w:rPr>
              <w:t>14 passed</w:t>
            </w:r>
          </w:p>
        </w:tc>
      </w:tr>
      <w:tr>
        <w:trPr>
          <w:cantSplit/>
        </w:trPr>
        <w:tc>
          <w:tcPr>
            <w:tcW w:type="dxa" w:w="3312"/>
            <w:vAlign w:val="center"/>
          </w:tcPr>
          <w:p>
            <w:pPr>
              <w:spacing w:after="20"/>
            </w:pPr>
            <w:r>
              <w:rPr>
                <w:rFonts w:ascii="Arial" w:hAnsi="Arial"/>
                <w:sz w:val="16"/>
              </w:rPr>
              <w:t>Proof artifact</w:t>
            </w:r>
          </w:p>
        </w:tc>
        <w:tc>
          <w:tcPr>
            <w:tcW w:type="dxa" w:w="6624"/>
            <w:vAlign w:val="center"/>
          </w:tcPr>
          <w:p>
            <w:pPr>
              <w:spacing w:after="20"/>
            </w:pPr>
            <w:r>
              <w:rPr>
                <w:rFonts w:ascii="Arial" w:hAnsi="Arial"/>
                <w:sz w:val="16"/>
              </w:rPr>
              <w:t>artifacts/local/proof-results.json: passed=true; mesh=passed</w:t>
            </w:r>
          </w:p>
        </w:tc>
      </w:tr>
      <w:tr>
        <w:trPr>
          <w:cantSplit/>
        </w:trPr>
        <w:tc>
          <w:tcPr>
            <w:tcW w:type="dxa" w:w="3312"/>
            <w:vAlign w:val="center"/>
          </w:tcPr>
          <w:p>
            <w:pPr>
              <w:spacing w:after="20"/>
            </w:pPr>
            <w:r>
              <w:rPr>
                <w:rFonts w:ascii="Arial" w:hAnsi="Arial"/>
                <w:sz w:val="16"/>
              </w:rPr>
              <w:t>Razorpay adapter tests</w:t>
            </w:r>
          </w:p>
        </w:tc>
        <w:tc>
          <w:tcPr>
            <w:tcW w:type="dxa" w:w="6624"/>
            <w:vAlign w:val="center"/>
          </w:tcPr>
          <w:p>
            <w:pPr>
              <w:spacing w:after="20"/>
            </w:pPr>
            <w:r>
              <w:rPr>
                <w:rFonts w:ascii="Arial" w:hAnsi="Arial"/>
                <w:sz w:val="16"/>
              </w:rPr>
              <w:t>14 API-double tests included in the 280; no live gateway calls</w:t>
            </w:r>
          </w:p>
        </w:tc>
      </w:tr>
      <w:tr>
        <w:trPr>
          <w:cantSplit/>
        </w:trPr>
        <w:tc>
          <w:tcPr>
            <w:tcW w:type="dxa" w:w="3312"/>
            <w:vAlign w:val="center"/>
          </w:tcPr>
          <w:p>
            <w:pPr>
              <w:spacing w:after="20"/>
            </w:pPr>
            <w:r>
              <w:rPr>
                <w:rFonts w:ascii="Arial" w:hAnsi="Arial"/>
                <w:sz w:val="16"/>
              </w:rPr>
              <w:t>Whitespace</w:t>
            </w:r>
          </w:p>
        </w:tc>
        <w:tc>
          <w:tcPr>
            <w:tcW w:type="dxa" w:w="6624"/>
            <w:vAlign w:val="center"/>
          </w:tcPr>
          <w:p>
            <w:pPr>
              <w:spacing w:after="20"/>
            </w:pPr>
            <w:r>
              <w:rPr>
                <w:rFonts w:ascii="Arial" w:hAnsi="Arial"/>
                <w:sz w:val="16"/>
              </w:rPr>
              <w:t>git diff --check passed during final implementation review</w:t>
            </w:r>
          </w:p>
        </w:tc>
      </w:tr>
      <w:tr>
        <w:trPr>
          <w:cantSplit/>
        </w:trPr>
        <w:tc>
          <w:tcPr>
            <w:tcW w:type="dxa" w:w="3312"/>
            <w:vAlign w:val="center"/>
          </w:tcPr>
          <w:p>
            <w:pPr>
              <w:spacing w:after="20"/>
            </w:pPr>
            <w:r>
              <w:rPr>
                <w:rFonts w:ascii="Arial" w:hAnsi="Arial"/>
                <w:sz w:val="16"/>
              </w:rPr>
              <w:t>Live Razorpay</w:t>
            </w:r>
          </w:p>
        </w:tc>
        <w:tc>
          <w:tcPr>
            <w:tcW w:type="dxa" w:w="6624"/>
            <w:vAlign w:val="center"/>
          </w:tcPr>
          <w:p>
            <w:pPr>
              <w:spacing w:after="20"/>
            </w:pPr>
            <w:r>
              <w:rPr>
                <w:rFonts w:ascii="Arial" w:hAnsi="Arial"/>
                <w:sz w:val="16"/>
              </w:rPr>
              <w:t>Not run: test key ID and secret are both absent</w:t>
            </w:r>
          </w:p>
        </w:tc>
      </w:tr>
      <w:tr>
        <w:trPr>
          <w:cantSplit/>
        </w:trPr>
        <w:tc>
          <w:tcPr>
            <w:tcW w:type="dxa" w:w="3312"/>
            <w:vAlign w:val="center"/>
          </w:tcPr>
          <w:p>
            <w:pPr>
              <w:spacing w:after="20"/>
            </w:pPr>
            <w:r>
              <w:rPr>
                <w:rFonts w:ascii="Arial" w:hAnsi="Arial"/>
                <w:sz w:val="16"/>
              </w:rPr>
              <w:t>Final full ASI:One recovery</w:t>
            </w:r>
          </w:p>
        </w:tc>
        <w:tc>
          <w:tcPr>
            <w:tcW w:type="dxa" w:w="6624"/>
            <w:vAlign w:val="center"/>
          </w:tcPr>
          <w:p>
            <w:r>
              <w:t>Completed in signed-in chat: cancellation/reversal, fresh replacement approval, confirmation and 17-event history rendered</w:t>
            </w:r>
          </w:p>
        </w:tc>
      </w:tr>
    </w:tbl>
    <w:p>
      <w:r>
        <w:t>The final proof command `.venv/bin/python -m servicesetu prove` exited 0. Its output reported 280 tests passed, zero failed, zero skipped, and 14 local uAgent workflows passed; artifacts/local/proof-results.json records passed=true and mesh=passed. Four provider-inbox HTTP tests first errored when sandbox policy denied loopback socket binding; the permission-enabled rerun passed all 280. Local proof is separate from rendered ASI:One UI and gateway transactions.</w:t>
      </w:r>
    </w:p>
    <w:p>
      <w:pPr>
        <w:pStyle w:val="Heading1"/>
      </w:pPr>
      <w:r>
        <w:t>Live ASI:One observations</w:t>
      </w:r>
    </w:p>
    <w:p>
      <w:r>
        <w:t>Rendered in the signed-in ASI:One Concierge chat: eligible provider comparison; exact quote review; explicit customer approval; a confirmed INR 699 CoolCare AC booking paid as “Simulated payment · no gateway charge”; provider cancellation and simulated payment reversal; a same-constraint Breeze AC replacement offer at INR 749; fresh replacement quote review and explicit approval; replacement confirmation; and the complete 17-event IST history. Both offers used AC service in Indiranagar, Bengaluru, 24 October 2026 at 10:00 AM IST, under the INR 1,000 maximum. All provider records were fictional. The customer-facing cards and history were visibly rendered; backend database/proof events are separate corroborating records.</w:t>
      </w:r>
    </w:p>
    <w:p>
      <w:r>
        <w:t>The first replacement quote expired before approval and was never confirmed. The Concierge rejected that expired quote. A fresh customer request with the same service, area, appointment and budget produced an eligible new option and hold; the customer reviewed and approved the new quote within the hold. The final rendered history contains the original cancellation and payment reversal, fresh search, new approval and replacement confirmation.</w:t>
      </w:r>
    </w:p>
    <w:p>
      <w:pPr>
        <w:pStyle w:val="Heading2"/>
      </w:pPr>
      <w:r>
        <w:t>Live ASI:One evidence</w:t>
      </w:r>
    </w:p>
    <w:p>
      <w:r>
        <w:t>Completed shared conversation link: stored in the ignored local file artifacts/local/ServiceSetu_Private_Demo_Handoff.docx. This public handoff copy summarizes the visible result without exposing the private chat URL.</w:t>
      </w:r>
    </w:p>
    <w:p>
      <w:r>
        <w:t>The final visible customer response showed confirmed Breeze AC, INR 749.00, paid in simulated mode, followed by the complete chronological 17-event IST history. The chat URL is retained only in the ignored local evidence copy. No recording file was created: QuickTime Player showed “New Screen Recording” disabled while its open-file panel was active. A screen recording still needs to be made after enabling an available recording path.</w:t>
      </w:r>
    </w:p>
    <w:p>
      <w:pPr>
        <w:pStyle w:val="Heading1"/>
      </w:pPr>
      <w:r>
        <w:t>Razorpay setup and limits</w:t>
      </w:r>
    </w:p>
    <w:p>
      <w:r>
        <w:t>Configure these names privately in .env only when using Razorpay TEST:</w:t>
      </w:r>
    </w:p>
    <w:p>
      <w:pPr>
        <w:ind w:left="360"/>
      </w:pPr>
      <w:r>
        <w:rPr>
          <w:rFonts w:ascii="Courier New" w:hAnsi="Courier New"/>
          <w:sz w:val="17"/>
        </w:rPr>
        <w:t>PAYMENT_MODE=razorpay_test</w:t>
      </w:r>
    </w:p>
    <w:p>
      <w:pPr>
        <w:ind w:left="360"/>
      </w:pPr>
      <w:r>
        <w:rPr>
          <w:rFonts w:ascii="Courier New" w:hAnsi="Courier New"/>
          <w:sz w:val="17"/>
        </w:rPr>
        <w:t>RAZORPAY_KEY_ID=rzp_test_…</w:t>
      </w:r>
    </w:p>
    <w:p>
      <w:pPr>
        <w:ind w:left="360"/>
      </w:pPr>
      <w:r>
        <w:rPr>
          <w:rFonts w:ascii="Courier New" w:hAnsi="Courier New"/>
          <w:sz w:val="17"/>
        </w:rPr>
        <w:t>RAZORPAY_KEY_SECRET=&lt;private test secret&gt;</w:t>
      </w:r>
    </w:p>
    <w:p>
      <w:pPr>
        <w:ind w:left="360"/>
      </w:pPr>
      <w:r>
        <w:rPr>
          <w:rFonts w:ascii="Courier New" w:hAnsi="Courier New"/>
          <w:sz w:val="17"/>
        </w:rPr>
        <w:t>SERVICESETU_DB=data/judging-demo.db</w:t>
      </w:r>
    </w:p>
    <w:p>
      <w:pPr>
        <w:ind w:left="360"/>
      </w:pPr>
      <w:r>
        <w:rPr>
          <w:rFonts w:ascii="Courier New" w:hAnsi="Courier New"/>
          <w:sz w:val="17"/>
        </w:rPr>
        <w:t>SERVICESETU_MAILBOX=true</w:t>
      </w:r>
    </w:p>
    <w:p>
      <w:r>
        <w:t>Run .venv/bin/python -m servicesetu.razorpay_payments for read-only TEST authentication. It must not print key or balance values and does not create a payment. Restart exactly one mailbox mesh after changing configuration. Razorpay creates a hosted Payment Link; the customer leaves ASI:One to enter payment details and returns to the same conversation for “check payment”. No SMS/email contact values are sent. No actual Razorpay authentication, capture, server confirmation or refund was performed because both Razorpay fields were empty.</w:t>
      </w:r>
    </w:p>
    <w:p>
      <w:r>
        <w:t>Optional Stripe TEST variable names: PAYMENT_MODE=stripe_test, STRIPE_SECRET_KEY, STRIPE_PUBLISHABLE_KEY (STRIPE_RETURN_URL is a legacy unused setting). Other existing private runtime names are ASI1_API_KEY, ASI1_MODEL, AGENTVERSE_API_KEY, SERVICESETU_SEED and DEMO_CONTROL_TOKEN. Preserve the registered seed; do not include any values in a handoff. Read-only preflight: .venv/bin/python -m servicesetu.stripe_check. Stripe keys were also absent at inspection. Mock mode uses PAYMENT_MODE=mock and needs no payment credentials. Preserve existing SERVICESETU_SEED and Agentverse config; never place keys in chat, command arguments, logs, screenshots or commits.</w:t>
      </w:r>
    </w:p>
    <w:p>
      <w:pPr>
        <w:pStyle w:val="Heading1"/>
      </w:pPr>
      <w:r>
        <w:t>Official hackathon requirement</w:t>
      </w:r>
    </w:p>
    <w:p>
      <w:r>
        <w:t>The current official Fetch-A-Thon 3.0 hackpack requires a project to be discoverable and usable through ASI:One, use ACP, and “complete the primary user workflow entirely within an ASI:One conversation”. Payment Protocol use is a bonus criterion. Razorpay’s external hosted checkout conflicts with the mandatory all-in-chat workflow if presented as the primary payment step. For the qualifying end-to-end demo, use mock mode: it shows a simulated payment and keeps all customer actions in the chat. Demonstrate Razorpay separately as an external TEST integration, and describe that boundary plainly.</w:t>
      </w:r>
    </w:p>
    <w:p>
      <w:r>
        <w:t xml:space="preserve">Official hackpack: </w:t>
      </w:r>
      <w:hyperlink r:id="rId11">
        <w:r>
          <w:rPr>
            <w:color w:val="0563C1"/>
            <w:u w:val="single"/>
          </w:rPr>
          <w:t>Fetch-A-Thon 3.0 rules and deliverables</w:t>
        </w:r>
      </w:hyperlink>
    </w:p>
    <w:p>
      <w:pPr>
        <w:pStyle w:val="Heading1"/>
      </w:pPr>
      <w:r>
        <w:t>Exact all-in-chat mock demo</w:t>
      </w:r>
    </w:p>
    <w:p>
      <w:pPr>
        <w:pStyle w:val="ListNumber"/>
      </w:pPr>
      <w:r>
        <w:t>Install/run proofs: uv pip install --python .venv/bin/python -e ".[fetch,communications]"; then .venv/bin/python -m servicesetu prove.</w:t>
      </w:r>
    </w:p>
    <w:p>
      <w:pPr>
        <w:pStyle w:val="ListNumber"/>
      </w:pPr>
      <w:r>
        <w:t>Create a fresh synthetic database: .venv/bin/python -m servicesetu seed-demo --db data/judging-demo.db --days 3.</w:t>
      </w:r>
    </w:p>
    <w:p>
      <w:pPr>
        <w:pStyle w:val="ListNumber"/>
      </w:pPr>
      <w:r>
        <w:t>Privately set SERVICESETU_DB=data/judging-demo.db, SERVICESETU_MAILBOX=true and PAYMENT_MODE=mock in .env. Leave existing SERVICESETU_SEED and Agentverse values unchanged.</w:t>
      </w:r>
    </w:p>
    <w:p>
      <w:pPr>
        <w:pStyle w:val="ListNumber"/>
      </w:pPr>
      <w:r>
        <w:t>Start one mesh: .venv/bin/python -m servicesetu mesh. Open the existing ServiceSetu Concierge in ASI:One and direct the chat to @servicesetu.</w:t>
      </w:r>
    </w:p>
    <w:p>
      <w:pPr>
        <w:pStyle w:val="ListNumber"/>
      </w:pPr>
      <w:r>
        <w:t>Send: AC service in Indiranagar Bengaluru tomorrow 10am under INR 1000. Compare eligible providers and select Review quote. Add a fictional visit address or Skip for now.</w:t>
      </w:r>
    </w:p>
    <w:p>
      <w:pPr>
        <w:pStyle w:val="ListNumber"/>
      </w:pPr>
      <w:r>
        <w:t>Read scope, exclusions, appointment, price, cancellation terms and hold deadline. Explicitly select Approve test payment (or use the exact approve BOOKING_ID QUOTE_ID TOKEN shown in the card). Confirm the response says “Simulated payment · no gateway charge”.</w:t>
      </w:r>
    </w:p>
    <w:p>
      <w:pPr>
        <w:pStyle w:val="ListNumber"/>
      </w:pPr>
      <w:r>
        <w:t>For the cancellation demonstration, use the displayed synthetic booking ID: .venv/bin/python scripts/cancel_provider.py p1 BOOKING_ID. Read the cancellation notice and mock refund status in ASI:One.</w:t>
      </w:r>
    </w:p>
    <w:p>
      <w:pPr>
        <w:pStyle w:val="ListNumber"/>
      </w:pPr>
      <w:r>
        <w:t>Choose Find replacements while the hold/quote is still valid. Review the new provider/quote, explicitly approve the fresh quote and confirm the new simulated booking.</w:t>
      </w:r>
    </w:p>
    <w:p>
      <w:pPr>
        <w:pStyle w:val="ListNumber"/>
      </w:pPr>
      <w:r>
        <w:t>Send show what happened and verify the original cancellation, reversal, replacement proposal, new approval and confirmation in the conversation history.</w:t>
      </w:r>
    </w:p>
    <w:p>
      <w:pPr>
        <w:pStyle w:val="ListNumber"/>
      </w:pPr>
      <w:r>
        <w:t>Optional lifecycle demo: message provider: Please use the fictional side gate. Then show messages, Confirm completion, and Report a problem. These require no actual customer data.</w:t>
      </w:r>
    </w:p>
    <w:p>
      <w:r>
        <w:t>Use a fresh database for each new demonstration. Holds are short: select Review quote and approve promptly; if one expires, the agent rejects it and the customer must request a fresh quote. The completed run followed this rule and never reused an expired approval. If Agentverse delivery is degraded, status/recover can help only when the route is available; local proof does not substitute for observing the card in ASI:One.</w:t>
      </w:r>
    </w:p>
    <w:p>
      <w:pPr>
        <w:pStyle w:val="Heading1"/>
      </w:pPr>
      <w:r>
        <w:t>Pilot operator responsibilities</w:t>
      </w:r>
    </w:p>
    <w:p>
      <w:r>
        <w:t>No provider has joined. A trusted operator must first obtain one plumber/repair shop owner’s permission, agree the exact work scope/exclusions/parts policy/total price, service area, time slots, cancellation contact, customer information sharing, local inbox access, completion/problem process and stop procedure. Keep the agreement reference private.</w:t>
      </w:r>
    </w:p>
    <w:p>
      <w:r>
        <w:t>The operator creates data/pilot-provider.json from the deliberately incomplete template in docs/demo-pilot-runbook.md. Only enter truthful manual checked_items, future timezone-qualified slots, actual coverage and agreed amounts. Import to an isolated pilot DB with: .venv/bin/python -m servicesetu.operator --db data/pilot.db import-pilot --config data/pilot-provider.json. Confirm exact held booking/quote availability with the provider, then record provider acceptance with the operator accept command. Customer approval remains separate and must happen within the hold.</w:t>
      </w:r>
    </w:p>
    <w:p>
      <w:r>
        <w:t>For confirmed visits, the operator starts the local provider inbox and shares its private token only with the assigned business on the supervised machine. The operator handles cancellation entry, reviews private encrypted report exports, acknowledges receipt and coordinates next steps. Acknowledgement is not a resolution or refund. The customer confirms completion in ASI:One. This pilot has no public provider portal, remote production hosting or independent identity verification.</w:t>
      </w:r>
    </w:p>
    <w:p>
      <w:pPr>
        <w:pStyle w:val="Heading1"/>
      </w:pPr>
      <w:r>
        <w:t>Remaining blockers</w:t>
      </w:r>
    </w:p>
    <w:p>
      <w:pPr>
        <w:pStyle w:val="ListBullet"/>
      </w:pPr>
      <w:r>
        <w:t>Razorpay test credentials are not configured: RAZORPAY_KEY_ID and RAZORPAY_KEY_SECRET are missing. Thus test authentication, hosted checkout, capture confirmation, retries against Razorpay and actual test refunds remain unverified.</w:t>
      </w:r>
    </w:p>
    <w:p>
      <w:pPr>
        <w:pStyle w:val="ListBullet"/>
      </w:pPr>
      <w:r>
        <w:t>The all-in-chat ASI:One mock workflow is complete and rendered, including cancellation/reversal, fresh replacement approval, replacement confirmation and full history. Razorpay hosted checkout and Stripe embedded checkout remain unverified live. The full customer conversation stayed in ASI:One; no external payment page was used.</w:t>
      </w:r>
    </w:p>
    <w:p>
      <w:pPr>
        <w:pStyle w:val="ListBullet"/>
      </w:pPr>
      <w:r>
        <w:t>Razorpay hosted checkout opens outside ASI:One. Use the mock mode for the hackathon’s mandatory complete in-chat workflow; a truly embedded Razorpay checkout would require different approved support/client integration.</w:t>
      </w:r>
    </w:p>
    <w:p>
      <w:pPr>
        <w:pStyle w:val="ListBullet"/>
      </w:pPr>
      <w:r>
        <w:t>No real local provider agreement, service list, prices, coverage, availability or booking acceptance was obtained. The pilot needs these operator/provider actions.</w:t>
      </w:r>
    </w:p>
    <w:p>
      <w:pPr>
        <w:pStyle w:val="ListBullet"/>
      </w:pPr>
      <w:r>
        <w:t>Provider messaging, completion confirmation and booking-linked problem reporting are implemented and locally tested; those three actions were not exercised in this live demonstration.</w:t>
      </w:r>
    </w:p>
    <w:p>
      <w:pPr>
        <w:pStyle w:val="ListBullet"/>
      </w:pPr>
      <w:r>
        <w:t>Source, tests and public documentation were committed as 2e0cfea and pushed to origin/main. This Word file has since been updated locally with the private chat link and latest evidence; that private update is not committed or pushed. Historical registration evidence from October 13 was not rechecked during finalization.</w:t>
      </w:r>
    </w:p>
    <w:p>
      <w:r>
        <w:t>No actual gateway transaction, real service, real-provider verification, production readiness or hackathon submission is claimed. The source commit was pushed to GitHub; this is not a hackathon submission.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Local implementation notes · 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A6978"/>
        <w:sz w:val="16"/>
      </w:rPr>
      <w:t>SERVICESETU  /  IMPLEMENTATION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32B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161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8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novationlab.fetch.ai/events/hackathons/fetch-a-thon-3/hackpack" TargetMode="External"/><Relationship Id="rId12" Type="http://schemas.openxmlformats.org/officeDocument/2006/relationships/hyperlink" Target="https://asi1.ai/chat/b258d4e8-321f-42f6-a3c9-236b620d5f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