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66n7qd2tr5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I've read both documents carefully. Here's my honest consultant take — no flattery, no hype.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d12sqi9isp6o" w:id="1"/>
      <w:bookmarkEnd w:id="1"/>
      <w:r w:rsidDel="00000000" w:rsidR="00000000" w:rsidRPr="00000000">
        <w:rPr>
          <w:b w:val="1"/>
          <w:bCs w:val="1"/>
          <w:sz w:val="34"/>
          <w:szCs w:val="34"/>
          <w:rtl w:val="0"/>
        </w:rPr>
        <w:t xml:space="preserve">The honest headline first</w:t>
      </w:r>
    </w:p>
    <w:p w:rsidR="00000000" w:rsidDel="00000000" w:rsidP="00000000" w:rsidRDefault="00000000" w:rsidRPr="00000000" w14:paraId="00000005">
      <w:pPr>
        <w:spacing w:after="240" w:before="240" w:lineRule="auto"/>
        <w:rPr/>
      </w:pPr>
      <w:r w:rsidDel="00000000" w:rsidR="00000000" w:rsidRPr="00000000">
        <w:rPr>
          <w:rtl w:val="0"/>
        </w:rPr>
        <w:t xml:space="preserve">The plan in that document is genuinely one of the better student founder plans I've seen. It's disciplined, realistic about timing, and built around actual founder-market fit. Most student founder plans are either moonshots with no path to revenue or lifestyle businesses dressed up as ventures. This one is neither.</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But you asked about becoming a billionaire.</w:t>
      </w:r>
      <w:r w:rsidDel="00000000" w:rsidR="00000000" w:rsidRPr="00000000">
        <w:rPr>
          <w:rtl w:val="0"/>
        </w:rPr>
        <w:t xml:space="preserve"> I need to be direct with you: a PQC readiness consultancy for mid-market CISOs is a real, potentially very profitable business. It is not, in its current form, a billionaire-scale outcome. A boutique governance consultancy that productizes into a SaaS tool could realistically reach $10–50M ARR. That's genuinely excellent. It doesn't get you to a billion without a second major strategic leap that isn't in this plan yet. I'll come back to what that leap might look like — but I won't pretend the current thesis gets you there, because it doesn't.</w:t>
      </w:r>
    </w:p>
    <w:p w:rsidR="00000000" w:rsidDel="00000000" w:rsidP="00000000" w:rsidRDefault="00000000" w:rsidRPr="00000000" w14:paraId="00000007">
      <w:pPr>
        <w:spacing w:after="240" w:before="240" w:lineRule="auto"/>
        <w:rPr/>
      </w:pPr>
      <w:r w:rsidDel="00000000" w:rsidR="00000000" w:rsidRPr="00000000">
        <w:rPr>
          <w:rtl w:val="0"/>
        </w:rPr>
        <w:t xml:space="preserve">Now, step by step.</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er7oergc1kt1" w:id="2"/>
      <w:bookmarkEnd w:id="2"/>
      <w:r w:rsidDel="00000000" w:rsidR="00000000" w:rsidRPr="00000000">
        <w:rPr>
          <w:b w:val="1"/>
          <w:bCs w:val="1"/>
          <w:sz w:val="34"/>
          <w:szCs w:val="34"/>
          <w:rtl w:val="0"/>
        </w:rPr>
        <w:t xml:space="preserve">Step 1: Validate the name before you commit</w:t>
      </w:r>
    </w:p>
    <w:p w:rsidR="00000000" w:rsidDel="00000000" w:rsidP="00000000" w:rsidRDefault="00000000" w:rsidRPr="00000000" w14:paraId="0000000A">
      <w:pPr>
        <w:spacing w:after="240" w:before="240" w:lineRule="auto"/>
        <w:rPr/>
      </w:pPr>
      <w:r w:rsidDel="00000000" w:rsidR="00000000" w:rsidRPr="00000000">
        <w:rPr>
          <w:rtl w:val="0"/>
        </w:rPr>
        <w:t xml:space="preserve">"The Trust Frontier" is good. It's searchable, the dual-thread thesis is legible in the name, and the eventual firm could inherit it. But before you register anything, spend two hours testing it:</w:t>
      </w:r>
    </w:p>
    <w:p w:rsidR="00000000" w:rsidDel="00000000" w:rsidP="00000000" w:rsidRDefault="00000000" w:rsidRPr="00000000" w14:paraId="0000000B">
      <w:pPr>
        <w:spacing w:after="240" w:before="240" w:lineRule="auto"/>
        <w:rPr/>
      </w:pPr>
      <w:r w:rsidDel="00000000" w:rsidR="00000000" w:rsidRPr="00000000">
        <w:rPr>
          <w:rtl w:val="0"/>
        </w:rPr>
        <w:t xml:space="preserve">Search LinkedIn for "trust frontier." Check whether anyone is already using it in your space. Pull up thetrustfrontier.com and thetrustfrontier.substack.com to confirm availability. Then say the name out loud to three people who aren't you and aren't your friends — a professor, a professional contact, someone outside tech — and see whether they understand what it's about without explanation. If they do, the name works. If they ask "trust in what?", you need a subtitle that carries the weight.</w:t>
      </w:r>
    </w:p>
    <w:p w:rsidR="00000000" w:rsidDel="00000000" w:rsidP="00000000" w:rsidRDefault="00000000" w:rsidRPr="00000000" w14:paraId="0000000C">
      <w:pPr>
        <w:spacing w:after="240" w:before="240" w:lineRule="auto"/>
        <w:rPr/>
      </w:pPr>
      <w:r w:rsidDel="00000000" w:rsidR="00000000" w:rsidRPr="00000000">
        <w:rPr>
          <w:rtl w:val="0"/>
        </w:rPr>
        <w:t xml:space="preserve">My honest opinion: the name is solid but not distinctive enough on its own to build a brand around. "The Trust Frontier" + the tagline "Quantum, AI, post-quantum cryptography — what's real, what's hype, and what to do about it" is the unit that works. Neither alone is enough.</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4f4y7vw1p3cw" w:id="3"/>
      <w:bookmarkEnd w:id="3"/>
      <w:r w:rsidDel="00000000" w:rsidR="00000000" w:rsidRPr="00000000">
        <w:rPr>
          <w:b w:val="1"/>
          <w:bCs w:val="1"/>
          <w:sz w:val="34"/>
          <w:szCs w:val="34"/>
          <w:rtl w:val="0"/>
        </w:rPr>
        <w:t xml:space="preserve">Step 2: Launch the newsletter before you do anything else</w:t>
      </w:r>
    </w:p>
    <w:p w:rsidR="00000000" w:rsidDel="00000000" w:rsidP="00000000" w:rsidRDefault="00000000" w:rsidRPr="00000000" w14:paraId="0000000F">
      <w:pPr>
        <w:spacing w:after="240" w:before="240" w:lineRule="auto"/>
        <w:rPr/>
      </w:pPr>
      <w:r w:rsidDel="00000000" w:rsidR="00000000" w:rsidRPr="00000000">
        <w:rPr>
          <w:rtl w:val="0"/>
        </w:rPr>
        <w:t xml:space="preserve">The plan is right about this. The newsletter is not optional infrastructure — it is the entire first year. Everything else (the consultancy, the credibility, the customer discovery) depends on the newsletter existing and being good.</w:t>
      </w:r>
    </w:p>
    <w:p w:rsidR="00000000" w:rsidDel="00000000" w:rsidP="00000000" w:rsidRDefault="00000000" w:rsidRPr="00000000" w14:paraId="00000010">
      <w:pPr>
        <w:spacing w:after="240" w:before="240" w:lineRule="auto"/>
        <w:rPr/>
      </w:pPr>
      <w:r w:rsidDel="00000000" w:rsidR="00000000" w:rsidRPr="00000000">
        <w:rPr>
          <w:rtl w:val="0"/>
        </w:rPr>
        <w:t xml:space="preserve">Your first piece is apparently already written — an AI trust article. The plan's advice on this is correct: publish it this week, not next week. The single biggest founder failure mode at your stage is preparation paralysis. The article doesn't need to be perfect. It needs to exist in public.</w:t>
      </w:r>
    </w:p>
    <w:p w:rsidR="00000000" w:rsidDel="00000000" w:rsidP="00000000" w:rsidRDefault="00000000" w:rsidRPr="00000000" w14:paraId="00000011">
      <w:pPr>
        <w:spacing w:after="240" w:before="240" w:lineRule="auto"/>
        <w:rPr/>
      </w:pPr>
      <w:r w:rsidDel="00000000" w:rsidR="00000000" w:rsidRPr="00000000">
        <w:rPr>
          <w:rtl w:val="0"/>
        </w:rPr>
        <w:t xml:space="preserve">Concrete steps in order:</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This week:</w:t>
      </w:r>
      <w:r w:rsidDel="00000000" w:rsidR="00000000" w:rsidRPr="00000000">
        <w:rPr>
          <w:rtl w:val="0"/>
        </w:rPr>
        <w:t xml:space="preserve"> Set up Substack. The landing page needs only three things — the name, a one-line description, and an email capture. Don't spend more than two hours on design. Publish your first article to Substack and schedule the LinkedIn version for Tuesday morning at 9am ET. That's it. The plan is in motion.</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The first 48 hours after publishing:</w:t>
      </w:r>
      <w:r w:rsidDel="00000000" w:rsidR="00000000" w:rsidRPr="00000000">
        <w:rPr>
          <w:rtl w:val="0"/>
        </w:rPr>
        <w:t xml:space="preserve"> Reply to every comment, even short ones. DM anyone who engages substantively and ask if they'd be willing to talk for 20 minutes. Track your metrics daily: LinkedIn views, Substack subscribers, inbound DMs. This data tells you whether the angle is working before you invest another month in it.</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The 90-day kill criteria in the plan are right.</w:t>
      </w:r>
      <w:r w:rsidDel="00000000" w:rsidR="00000000" w:rsidRPr="00000000">
        <w:rPr>
          <w:rtl w:val="0"/>
        </w:rPr>
        <w:t xml:space="preserve"> If after three months you have fewer than 250 Substack subscribers and fewer than 1,000 LinkedIn followers, the persona isn't landing and you need to interrogate </w:t>
      </w:r>
      <w:r w:rsidDel="00000000" w:rsidR="00000000" w:rsidRPr="00000000">
        <w:rPr>
          <w:i w:val="1"/>
          <w:iCs w:val="1"/>
          <w:rtl w:val="0"/>
        </w:rPr>
        <w:t xml:space="preserve">which</w:t>
      </w:r>
      <w:r w:rsidDel="00000000" w:rsidR="00000000" w:rsidRPr="00000000">
        <w:rPr>
          <w:rtl w:val="0"/>
        </w:rPr>
        <w:t xml:space="preserve"> posts performed, not post more of the same.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dffnvwfb92vm" w:id="4"/>
      <w:bookmarkEnd w:id="4"/>
      <w:r w:rsidDel="00000000" w:rsidR="00000000" w:rsidRPr="00000000">
        <w:rPr>
          <w:b w:val="1"/>
          <w:bCs w:val="1"/>
          <w:sz w:val="34"/>
          <w:szCs w:val="34"/>
          <w:rtl w:val="0"/>
        </w:rPr>
        <w:t xml:space="preserve">Step 3: Be ruthless about the content angle</w:t>
      </w:r>
    </w:p>
    <w:p w:rsidR="00000000" w:rsidDel="00000000" w:rsidP="00000000" w:rsidRDefault="00000000" w:rsidRPr="00000000" w14:paraId="00000017">
      <w:pPr>
        <w:spacing w:after="240" w:before="240" w:lineRule="auto"/>
        <w:rPr/>
      </w:pPr>
      <w:r w:rsidDel="00000000" w:rsidR="00000000" w:rsidRPr="00000000">
        <w:rPr>
          <w:rtl w:val="0"/>
        </w:rPr>
        <w:t xml:space="preserve">Here's where I'll push back on the plan slightly. The six-post sequence is well-structured, but there's a tension in the dual-thread positioning (AI trust </w:t>
      </w:r>
      <w:r w:rsidDel="00000000" w:rsidR="00000000" w:rsidRPr="00000000">
        <w:rPr>
          <w:i w:val="1"/>
          <w:iCs w:val="1"/>
          <w:rtl w:val="0"/>
        </w:rPr>
        <w:t xml:space="preserve">and</w:t>
      </w:r>
      <w:r w:rsidDel="00000000" w:rsidR="00000000" w:rsidRPr="00000000">
        <w:rPr>
          <w:rtl w:val="0"/>
        </w:rPr>
        <w:t xml:space="preserve"> quantum) that the plan underweights.</w:t>
      </w:r>
    </w:p>
    <w:p w:rsidR="00000000" w:rsidDel="00000000" w:rsidP="00000000" w:rsidRDefault="00000000" w:rsidRPr="00000000" w14:paraId="00000018">
      <w:pPr>
        <w:spacing w:after="240" w:before="240" w:lineRule="auto"/>
        <w:rPr/>
      </w:pPr>
      <w:r w:rsidDel="00000000" w:rsidR="00000000" w:rsidRPr="00000000">
        <w:rPr>
          <w:rtl w:val="0"/>
        </w:rPr>
        <w:t xml:space="preserve">Most newsletters that try to cover two distinct technical domains early on end up with a fragmented audience — AI people who don't care about quantum, quantum people who don't care about AI governance. The PQC post (Post #4 in the plan) is where the two threads converge into a single coherent thesis. That post is arguably the most important one you'll write, because it's where readers understand </w:t>
      </w:r>
      <w:r w:rsidDel="00000000" w:rsidR="00000000" w:rsidRPr="00000000">
        <w:rPr>
          <w:i w:val="1"/>
          <w:iCs w:val="1"/>
          <w:rtl w:val="0"/>
        </w:rPr>
        <w:t xml:space="preserve">why</w:t>
      </w:r>
      <w:r w:rsidDel="00000000" w:rsidR="00000000" w:rsidRPr="00000000">
        <w:rPr>
          <w:rtl w:val="0"/>
        </w:rPr>
        <w:t xml:space="preserve"> you cover both things together.</w:t>
      </w:r>
    </w:p>
    <w:p w:rsidR="00000000" w:rsidDel="00000000" w:rsidP="00000000" w:rsidRDefault="00000000" w:rsidRPr="00000000" w14:paraId="00000019">
      <w:pPr>
        <w:spacing w:after="240" w:before="240" w:lineRule="auto"/>
        <w:rPr/>
      </w:pPr>
      <w:r w:rsidDel="00000000" w:rsidR="00000000" w:rsidRPr="00000000">
        <w:rPr>
          <w:rtl w:val="0"/>
        </w:rPr>
        <w:t xml:space="preserve">My recommendation: write Post #4 (the PQC/NIST piece) earlier than the plan suggests, possibly as Post #2 or #3. The dual-thread positioning needs to be legible to readers before they decide whether to subscribe long-term. If they come for the AI trust piece and then get a quantum teardown with no visible bridge, they leave.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ba33hmlq06b8" w:id="5"/>
      <w:bookmarkEnd w:id="5"/>
      <w:r w:rsidDel="00000000" w:rsidR="00000000" w:rsidRPr="00000000">
        <w:rPr>
          <w:b w:val="1"/>
          <w:bCs w:val="1"/>
          <w:sz w:val="34"/>
          <w:szCs w:val="34"/>
          <w:rtl w:val="0"/>
        </w:rPr>
        <w:t xml:space="preserve">Step 4: The consultancy — timing and credibility floor</w:t>
      </w:r>
    </w:p>
    <w:p w:rsidR="00000000" w:rsidDel="00000000" w:rsidP="00000000" w:rsidRDefault="00000000" w:rsidRPr="00000000" w14:paraId="0000001C">
      <w:pPr>
        <w:spacing w:after="240" w:before="240" w:lineRule="auto"/>
        <w:rPr/>
      </w:pPr>
      <w:r w:rsidDel="00000000" w:rsidR="00000000" w:rsidRPr="00000000">
        <w:rPr>
          <w:rtl w:val="0"/>
        </w:rPr>
        <w:t xml:space="preserve">The plan sets a credibility floor of 3,000 LinkedIn followers and 1,000 Substack subscribers before any paid engagement attempt. This is correct. I'd actually raise it slightly: don't approach your first potential client until you have at least one piece that got 10,000+ LinkedIn views and at least one inbound DM from someone with "CISO" or "security" in their title who found you organically.</w:t>
      </w:r>
    </w:p>
    <w:p w:rsidR="00000000" w:rsidDel="00000000" w:rsidP="00000000" w:rsidRDefault="00000000" w:rsidRPr="00000000" w14:paraId="0000001D">
      <w:pPr>
        <w:spacing w:after="240" w:before="240" w:lineRule="auto"/>
        <w:rPr/>
      </w:pPr>
      <w:r w:rsidDel="00000000" w:rsidR="00000000" w:rsidRPr="00000000">
        <w:rPr>
          <w:rtl w:val="0"/>
        </w:rPr>
        <w:t xml:space="preserve">The reason is specific to your situation: you're a Princeton sophomore selling $25k cryptography assessments. The newsletter is what makes that sale possible. Without it, the buyer's mental model is "paying a student." With it, the mental model is "paying the person who wrote that PQC piece that 15,000 people read." Those are completely different sales.</w:t>
      </w:r>
    </w:p>
    <w:p w:rsidR="00000000" w:rsidDel="00000000" w:rsidP="00000000" w:rsidRDefault="00000000" w:rsidRPr="00000000" w14:paraId="0000001E">
      <w:pPr>
        <w:spacing w:after="240" w:before="240" w:lineRule="auto"/>
        <w:rPr/>
      </w:pPr>
      <w:r w:rsidDel="00000000" w:rsidR="00000000" w:rsidRPr="00000000">
        <w:rPr>
          <w:rtl w:val="0"/>
        </w:rPr>
        <w:t xml:space="preserve">The advisor recruitment (a former CISO or veteran cryptographer who lends their name to proposals) is not optional. The plan calls it out but treats it as a year-2 item. I'd start that relationship earlier — not a formal advisory agreement, but a relationship. Find one person through Princeton CITP or the eLab network this fall, share your writing with them, ask for feedback. By the time you need their name on a proposal, it won't be a cold ask.</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acuv3kwp3jid" w:id="6"/>
      <w:bookmarkEnd w:id="6"/>
      <w:r w:rsidDel="00000000" w:rsidR="00000000" w:rsidRPr="00000000">
        <w:rPr>
          <w:b w:val="1"/>
          <w:bCs w:val="1"/>
          <w:sz w:val="34"/>
          <w:szCs w:val="34"/>
          <w:rtl w:val="0"/>
        </w:rPr>
        <w:t xml:space="preserve">Step 5: EGR 491 — what to actually do with it</w:t>
      </w:r>
    </w:p>
    <w:p w:rsidR="00000000" w:rsidDel="00000000" w:rsidP="00000000" w:rsidRDefault="00000000" w:rsidRPr="00000000" w14:paraId="00000021">
      <w:pPr>
        <w:spacing w:after="240" w:before="240" w:lineRule="auto"/>
        <w:rPr/>
      </w:pPr>
      <w:r w:rsidDel="00000000" w:rsidR="00000000" w:rsidRPr="00000000">
        <w:rPr>
          <w:rtl w:val="0"/>
        </w:rPr>
        <w:t xml:space="preserve">The plan frames EGR 491 as a customer discovery vehicle. That's right. But the more important thing you can do in that course is find a co-founder.</w:t>
      </w:r>
    </w:p>
    <w:p w:rsidR="00000000" w:rsidDel="00000000" w:rsidP="00000000" w:rsidRDefault="00000000" w:rsidRPr="00000000" w14:paraId="00000022">
      <w:pPr>
        <w:spacing w:after="240" w:before="240" w:lineRule="auto"/>
        <w:rPr/>
      </w:pPr>
      <w:r w:rsidDel="00000000" w:rsidR="00000000" w:rsidRPr="00000000">
        <w:rPr>
          <w:rtl w:val="0"/>
        </w:rPr>
        <w:t xml:space="preserve">The plan lists co-founder absence as Risk 5 and offers mitigations, but the honest answer is that a solo founder building a services-to-product company while doing Princeton ECE is a very hard path. EGR 491 is the cheapest co-founder market you'll ever access. Walk in looking specifically for someone who is strong on sales, operations, and customer relationships — the complement to your analytical and technical strengths. If you find that person in that class, the venture's probability of success roughly doubles.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e7xxiq3apbfi" w:id="7"/>
      <w:bookmarkEnd w:id="7"/>
      <w:r w:rsidDel="00000000" w:rsidR="00000000" w:rsidRPr="00000000">
        <w:rPr>
          <w:b w:val="1"/>
          <w:bCs w:val="1"/>
          <w:sz w:val="34"/>
          <w:szCs w:val="34"/>
          <w:rtl w:val="0"/>
        </w:rPr>
        <w:t xml:space="preserve">The billionaire question — honest answer</w:t>
      </w:r>
    </w:p>
    <w:p w:rsidR="00000000" w:rsidDel="00000000" w:rsidP="00000000" w:rsidRDefault="00000000" w:rsidRPr="00000000" w14:paraId="00000025">
      <w:pPr>
        <w:spacing w:after="240" w:before="240" w:lineRule="auto"/>
        <w:rPr/>
      </w:pPr>
      <w:r w:rsidDel="00000000" w:rsidR="00000000" w:rsidRPr="00000000">
        <w:rPr>
          <w:rtl w:val="0"/>
        </w:rPr>
        <w:t xml:space="preserve">Here is where I need to be genuinely straight with you.</w:t>
      </w:r>
    </w:p>
    <w:p w:rsidR="00000000" w:rsidDel="00000000" w:rsidP="00000000" w:rsidRDefault="00000000" w:rsidRPr="00000000" w14:paraId="00000026">
      <w:pPr>
        <w:spacing w:after="240" w:before="240" w:lineRule="auto"/>
        <w:rPr/>
      </w:pPr>
      <w:r w:rsidDel="00000000" w:rsidR="00000000" w:rsidRPr="00000000">
        <w:rPr>
          <w:rtl w:val="0"/>
        </w:rPr>
        <w:t xml:space="preserve">The business in that plan — a frontier technology governance consultancy that productizes into a SaaS assessment tool — is a real business with a credible path to $10–50M ARR and potentially a $100–500M acquisition outcome if you build it well and the market develops. That is an exceptional outcome for someone who starts building at 19. It would make you wealthy by any reasonable standard.</w:t>
      </w:r>
    </w:p>
    <w:p w:rsidR="00000000" w:rsidDel="00000000" w:rsidP="00000000" w:rsidRDefault="00000000" w:rsidRPr="00000000" w14:paraId="00000027">
      <w:pPr>
        <w:spacing w:after="240" w:before="240" w:lineRule="auto"/>
        <w:rPr/>
      </w:pPr>
      <w:r w:rsidDel="00000000" w:rsidR="00000000" w:rsidRPr="00000000">
        <w:rPr>
          <w:rtl w:val="0"/>
        </w:rPr>
        <w:t xml:space="preserve">It is not a billionaire-scale outcome unless something significantly larger happens. The things that could make it billionaire-scale are: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One:</w:t>
      </w:r>
      <w:r w:rsidDel="00000000" w:rsidR="00000000" w:rsidRPr="00000000">
        <w:rPr>
          <w:rtl w:val="0"/>
        </w:rPr>
        <w:t xml:space="preserve"> The self-serve tier (the automated cryptographic asset inventory tool) becomes the dominant tool in its category, the way Qualys or Tenable became the dominant tools in vulnerability scanning. That's a $1B+ company, but it requires competing against well-funded incumbents and requires a serious engineering team.</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Two:</w:t>
      </w:r>
      <w:r w:rsidDel="00000000" w:rsidR="00000000" w:rsidRPr="00000000">
        <w:rPr>
          <w:rtl w:val="0"/>
        </w:rPr>
        <w:t xml:space="preserve"> You use the firm and the newsletter audience as the platform to raise and deploy a deep-tech focused fund — the Josh Wolfe path. That's a different business and a different skill set, but it's a real path from where you're standing.</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Three:</w:t>
      </w:r>
      <w:r w:rsidDel="00000000" w:rsidR="00000000" w:rsidRPr="00000000">
        <w:rPr>
          <w:rtl w:val="0"/>
        </w:rPr>
        <w:t xml:space="preserve"> PQC becomes a regulatory mandate that creates a massive compliance market overnight (similar to what GDPR did for data privacy consultancies), and you're the best-positioned player when it happens.</w:t>
      </w:r>
    </w:p>
    <w:p w:rsidR="00000000" w:rsidDel="00000000" w:rsidP="00000000" w:rsidRDefault="00000000" w:rsidRPr="00000000" w14:paraId="0000002B">
      <w:pPr>
        <w:spacing w:after="240" w:before="240" w:lineRule="auto"/>
        <w:rPr/>
      </w:pPr>
      <w:r w:rsidDel="00000000" w:rsidR="00000000" w:rsidRPr="00000000">
        <w:rPr>
          <w:rtl w:val="0"/>
        </w:rPr>
        <w:t xml:space="preserve">None of these are guaranteed. None of them are in the plan. The honest question for you right now is: are you building a great business, or are you building toward a specific scale outcome? Both are legitimate goals but they lead to different decisions, especially around when to raise capital, whether to hire, and how fast to push.</w:t>
      </w:r>
    </w:p>
    <w:p w:rsidR="00000000" w:rsidDel="00000000" w:rsidP="00000000" w:rsidRDefault="00000000" w:rsidRPr="00000000" w14:paraId="0000002C">
      <w:pPr>
        <w:spacing w:after="240" w:before="240" w:lineRule="auto"/>
        <w:rPr/>
      </w:pPr>
      <w:r w:rsidDel="00000000" w:rsidR="00000000" w:rsidRPr="00000000">
        <w:rPr>
          <w:rtl w:val="0"/>
        </w:rPr>
        <w:t xml:space="preserve">My recommendation: focus on building the great business first. The newsletter, the customer discovery, the first paid assessments. If you execute those well, the scale question answers itself by year 3. If you chase the billionaire outcome before the business foundation is real, you'll have neither.</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whg0euh40dvo" w:id="8"/>
      <w:bookmarkEnd w:id="8"/>
      <w:r w:rsidDel="00000000" w:rsidR="00000000" w:rsidRPr="00000000">
        <w:rPr>
          <w:b w:val="1"/>
          <w:bCs w:val="1"/>
          <w:sz w:val="34"/>
          <w:szCs w:val="34"/>
          <w:rtl w:val="0"/>
        </w:rPr>
        <w:t xml:space="preserve">The two things the plan gets most right</w:t>
      </w:r>
    </w:p>
    <w:p w:rsidR="00000000" w:rsidDel="00000000" w:rsidP="00000000" w:rsidRDefault="00000000" w:rsidRPr="00000000" w14:paraId="0000002F">
      <w:pPr>
        <w:spacing w:after="240" w:before="240" w:lineRule="auto"/>
        <w:rPr/>
      </w:pPr>
      <w:r w:rsidDel="00000000" w:rsidR="00000000" w:rsidRPr="00000000">
        <w:rPr>
          <w:rtl w:val="0"/>
        </w:rPr>
        <w:t xml:space="preserve">First: the discipline around not monetising the newsletter. Premature paywalls kill reach. Free, frequent, sharp content that builds a real audience is the only thing that compounds at this stage. The plan is right about this and you should hold the line on it even when it's tempting to add a paid tier at month 4.</w:t>
      </w:r>
    </w:p>
    <w:p w:rsidR="00000000" w:rsidDel="00000000" w:rsidP="00000000" w:rsidRDefault="00000000" w:rsidRPr="00000000" w14:paraId="00000030">
      <w:pPr>
        <w:spacing w:after="240" w:before="240" w:lineRule="auto"/>
        <w:rPr/>
      </w:pPr>
      <w:r w:rsidDel="00000000" w:rsidR="00000000" w:rsidRPr="00000000">
        <w:rPr>
          <w:rtl w:val="0"/>
        </w:rPr>
        <w:t xml:space="preserve">Second: the hard rules. The GPA floor (pause public-facing work if GPA drops 0.3+ points), the time budget (8–12 hours a week, no exceptions during exams), and the rest requirement are not suggestions. They are the mechanism by which you do this for four years without burning out. The discipline of not working is genuinely harder than working, and it's what separates the founders who finish the 36-month plan from the ones who quit at month 8.</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kg8i1xy4h58a" w:id="9"/>
      <w:bookmarkEnd w:id="9"/>
      <w:r w:rsidDel="00000000" w:rsidR="00000000" w:rsidRPr="00000000">
        <w:rPr>
          <w:b w:val="1"/>
          <w:bCs w:val="1"/>
          <w:sz w:val="34"/>
          <w:szCs w:val="34"/>
          <w:rtl w:val="0"/>
        </w:rPr>
        <w:t xml:space="preserve">Your actual next three actions</w:t>
      </w:r>
    </w:p>
    <w:p w:rsidR="00000000" w:rsidDel="00000000" w:rsidP="00000000" w:rsidRDefault="00000000" w:rsidRPr="00000000" w14:paraId="00000033">
      <w:pPr>
        <w:spacing w:after="240" w:before="240" w:lineRule="auto"/>
        <w:rPr/>
      </w:pPr>
      <w:r w:rsidDel="00000000" w:rsidR="00000000" w:rsidRPr="00000000">
        <w:rPr>
          <w:rtl w:val="0"/>
        </w:rPr>
        <w:t xml:space="preserve">Everything in that plan is downstream of this article existing in public. So:</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This week:</w:t>
      </w:r>
      <w:r w:rsidDel="00000000" w:rsidR="00000000" w:rsidRPr="00000000">
        <w:rPr>
          <w:rtl w:val="0"/>
        </w:rPr>
        <w:t xml:space="preserve"> Set up Substack, finalise and publish the AI trust article, schedule the LinkedIn post. That's the only thing that matters this week.</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This month:</w:t>
      </w:r>
      <w:r w:rsidDel="00000000" w:rsidR="00000000" w:rsidRPr="00000000">
        <w:rPr>
          <w:rtl w:val="0"/>
        </w:rPr>
        <w:t xml:space="preserve"> Write Post #2. Start one substantive LinkedIn comment per day on posts by people in AI policy, quantum, or cybersecurity. Build the habit before you need the audience.</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This semester:</w:t>
      </w:r>
      <w:r w:rsidDel="00000000" w:rsidR="00000000" w:rsidRPr="00000000">
        <w:rPr>
          <w:rtl w:val="0"/>
        </w:rPr>
        <w:t xml:space="preserve"> Identify one potential advisor through Princeton CITP or eLab. Not a formal pitch — just a relationship. Share your work and ask for honest feedback.</w:t>
      </w:r>
    </w:p>
    <w:p w:rsidR="00000000" w:rsidDel="00000000" w:rsidP="00000000" w:rsidRDefault="00000000" w:rsidRPr="00000000" w14:paraId="00000037">
      <w:pPr>
        <w:spacing w:after="240" w:before="240" w:lineRule="auto"/>
        <w:rPr/>
      </w:pPr>
      <w:r w:rsidDel="00000000" w:rsidR="00000000" w:rsidRPr="00000000">
        <w:rPr>
          <w:rtl w:val="0"/>
        </w:rPr>
        <w:t xml:space="preserve">The plan is sound. Execute it.</w:t>
      </w:r>
    </w:p>
    <w:p w:rsidR="00000000" w:rsidDel="00000000" w:rsidP="00000000" w:rsidRDefault="00000000" w:rsidRPr="00000000" w14:paraId="000000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1upcg10aabf"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eaxcf7iuxpf4" w:id="11"/>
      <w:bookmarkEnd w:id="11"/>
      <w:r w:rsidDel="00000000" w:rsidR="00000000" w:rsidRPr="00000000">
        <w:rPr>
          <w:b w:val="1"/>
          <w:bCs w:val="1"/>
          <w:color w:val="000000"/>
          <w:sz w:val="26"/>
          <w:szCs w:val="26"/>
          <w:rtl w:val="0"/>
        </w:rPr>
        <w:t xml:space="preserve">On the Microsoft article — this is the more important thing</w:t>
      </w:r>
    </w:p>
    <w:p w:rsidR="00000000" w:rsidDel="00000000" w:rsidP="00000000" w:rsidRDefault="00000000" w:rsidRPr="00000000" w14:paraId="0000003B">
      <w:pPr>
        <w:spacing w:after="240" w:before="240" w:lineRule="auto"/>
        <w:rPr/>
      </w:pPr>
      <w:r w:rsidDel="00000000" w:rsidR="00000000" w:rsidRPr="00000000">
        <w:rPr>
          <w:rtl w:val="0"/>
        </w:rPr>
        <w:t xml:space="preserve">Read what Microsoft just published, with your positioning in mind:</w:t>
      </w:r>
    </w:p>
    <w:p w:rsidR="00000000" w:rsidDel="00000000" w:rsidP="00000000" w:rsidRDefault="00000000" w:rsidRPr="00000000" w14:paraId="0000003C">
      <w:pPr>
        <w:spacing w:after="240" w:before="240" w:lineRule="auto"/>
        <w:rPr>
          <w:i w:val="1"/>
          <w:iCs w:val="1"/>
        </w:rPr>
      </w:pPr>
      <w:r w:rsidDel="00000000" w:rsidR="00000000" w:rsidRPr="00000000">
        <w:rPr>
          <w:i w:val="1"/>
          <w:iCs w:val="1"/>
          <w:rtl w:val="0"/>
        </w:rPr>
        <w:t xml:space="preserve">"The two most important elements in any AI solution are Intelligence + Trust."</w:t>
      </w:r>
    </w:p>
    <w:p w:rsidR="00000000" w:rsidDel="00000000" w:rsidP="00000000" w:rsidRDefault="00000000" w:rsidRPr="00000000" w14:paraId="0000003D">
      <w:pPr>
        <w:spacing w:after="240" w:before="240" w:lineRule="auto"/>
        <w:rPr/>
      </w:pPr>
      <w:r w:rsidDel="00000000" w:rsidR="00000000" w:rsidRPr="00000000">
        <w:rPr>
          <w:rtl w:val="0"/>
        </w:rPr>
        <w:t xml:space="preserve">Microsoft, with a $3 trillion market cap and the largest enterprise AI deployment in the world, just told the market that </w:t>
      </w:r>
      <w:r w:rsidDel="00000000" w:rsidR="00000000" w:rsidRPr="00000000">
        <w:rPr>
          <w:b w:val="1"/>
          <w:bCs w:val="1"/>
          <w:rtl w:val="0"/>
        </w:rPr>
        <w:t xml:space="preserve">trust is the central unsolved problem in AI adoption</w:t>
      </w:r>
      <w:r w:rsidDel="00000000" w:rsidR="00000000" w:rsidRPr="00000000">
        <w:rPr>
          <w:rtl w:val="0"/>
        </w:rPr>
        <w:t xml:space="preserve">. They're building entire product lines around it. They named it one of only two things that matter.</w:t>
      </w:r>
    </w:p>
    <w:p w:rsidR="00000000" w:rsidDel="00000000" w:rsidP="00000000" w:rsidRDefault="00000000" w:rsidRPr="00000000" w14:paraId="0000003E">
      <w:pPr>
        <w:spacing w:after="240" w:before="240" w:lineRule="auto"/>
        <w:rPr/>
      </w:pPr>
      <w:r w:rsidDel="00000000" w:rsidR="00000000" w:rsidRPr="00000000">
        <w:rPr>
          <w:rtl w:val="0"/>
        </w:rPr>
        <w:t xml:space="preserve">This is not a threat to your positioning. This is the strongest possible market validation signal you could have received.</w:t>
      </w:r>
    </w:p>
    <w:p w:rsidR="00000000" w:rsidDel="00000000" w:rsidP="00000000" w:rsidRDefault="00000000" w:rsidRPr="00000000" w14:paraId="0000003F">
      <w:pPr>
        <w:spacing w:after="240" w:before="240" w:lineRule="auto"/>
        <w:rPr/>
      </w:pPr>
      <w:r w:rsidDel="00000000" w:rsidR="00000000" w:rsidRPr="00000000">
        <w:rPr>
          <w:rtl w:val="0"/>
        </w:rPr>
        <w:t xml:space="preserve">Here's why: Microsoft is solving trust at the </w:t>
      </w:r>
      <w:r w:rsidDel="00000000" w:rsidR="00000000" w:rsidRPr="00000000">
        <w:rPr>
          <w:b w:val="1"/>
          <w:bCs w:val="1"/>
          <w:rtl w:val="0"/>
        </w:rPr>
        <w:t xml:space="preserve">platform and infrastructure layer</w:t>
      </w:r>
      <w:r w:rsidDel="00000000" w:rsidR="00000000" w:rsidRPr="00000000">
        <w:rPr>
          <w:rtl w:val="0"/>
        </w:rPr>
        <w:t xml:space="preserve"> — observability, governance, security, agent oversight. That's an enterprise product problem. What they are explicitly </w:t>
      </w:r>
      <w:r w:rsidDel="00000000" w:rsidR="00000000" w:rsidRPr="00000000">
        <w:rPr>
          <w:i w:val="1"/>
          <w:iCs w:val="1"/>
          <w:rtl w:val="0"/>
        </w:rPr>
        <w:t xml:space="preserve">not</w:t>
      </w:r>
      <w:r w:rsidDel="00000000" w:rsidR="00000000" w:rsidRPr="00000000">
        <w:rPr>
          <w:rtl w:val="0"/>
        </w:rPr>
        <w:t xml:space="preserve"> doing is the </w:t>
      </w:r>
      <w:r w:rsidDel="00000000" w:rsidR="00000000" w:rsidRPr="00000000">
        <w:rPr>
          <w:b w:val="1"/>
          <w:bCs w:val="1"/>
          <w:rtl w:val="0"/>
        </w:rPr>
        <w:t xml:space="preserve">analytical translation layer</w:t>
      </w:r>
      <w:r w:rsidDel="00000000" w:rsidR="00000000" w:rsidRPr="00000000">
        <w:rPr>
          <w:rtl w:val="0"/>
        </w:rPr>
        <w:t xml:space="preserve"> — helping a mid-market CISO understand whether the trust claims Microsoft (or any other vendor) is making actually hold up under scrutiny. That gap is precisely where you live.</w:t>
      </w:r>
    </w:p>
    <w:p w:rsidR="00000000" w:rsidDel="00000000" w:rsidP="00000000" w:rsidRDefault="00000000" w:rsidRPr="00000000" w14:paraId="00000040">
      <w:pPr>
        <w:spacing w:after="240" w:before="240" w:lineRule="auto"/>
        <w:rPr/>
      </w:pPr>
      <w:r w:rsidDel="00000000" w:rsidR="00000000" w:rsidRPr="00000000">
        <w:rPr>
          <w:rtl w:val="0"/>
        </w:rPr>
        <w:t xml:space="preserve">The article also gives you your sharpest hook yet for the newsletter. The framing writes itself:</w:t>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"Microsoft just told the world that Intelligence + Trust are the two pillars of AI. They've solved Intelligence. Nobody has solved Trust — and here's what that actually means for the institutions buying these systems."</w:t>
      </w:r>
    </w:p>
    <w:p w:rsidR="00000000" w:rsidDel="00000000" w:rsidP="00000000" w:rsidRDefault="00000000" w:rsidRPr="00000000" w14:paraId="00000042">
      <w:pPr>
        <w:spacing w:after="240" w:before="240" w:lineRule="auto"/>
        <w:rPr/>
      </w:pPr>
      <w:r w:rsidDel="00000000" w:rsidR="00000000" w:rsidRPr="00000000">
        <w:rPr>
          <w:rtl w:val="0"/>
        </w:rPr>
        <w:t xml:space="preserve">That's your Post #2 or a standalone reactive piece you publish this week, while the article is fresh. A 600–900 word response on LinkedIn — not a full newsletter piece, just a sharp reactive take — positions you immediately in the conversation Microsoft just opened. You're not a student commenting on a big company. You're a voice in an active market debate.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vww1w5frfqyw" w:id="12"/>
      <w:bookmarkEnd w:id="12"/>
      <w:r w:rsidDel="00000000" w:rsidR="00000000" w:rsidRPr="00000000">
        <w:rPr>
          <w:b w:val="1"/>
          <w:bCs w:val="1"/>
          <w:color w:val="000000"/>
          <w:sz w:val="26"/>
          <w:szCs w:val="26"/>
          <w:rtl w:val="0"/>
        </w:rPr>
        <w:t xml:space="preserve">One naming thought this article triggers</w:t>
      </w:r>
    </w:p>
    <w:p w:rsidR="00000000" w:rsidDel="00000000" w:rsidP="00000000" w:rsidRDefault="00000000" w:rsidRPr="00000000" w14:paraId="00000045">
      <w:pPr>
        <w:spacing w:after="240" w:before="240" w:lineRule="auto"/>
        <w:rPr/>
      </w:pPr>
      <w:r w:rsidDel="00000000" w:rsidR="00000000" w:rsidRPr="00000000">
        <w:rPr>
          <w:rtl w:val="0"/>
        </w:rPr>
        <w:t xml:space="preserve">The Microsoft article uses "frontier" in the context of "Frontier Firms." That word is now actively circulating in enterprise AI discourse at the highest level. "The Trust Frontier" just got more legible to the exact audience you want — CISOs and executives reading Microsoft's product announcements — not less. It's not a coincidence. It's confirmation that the language you chose is where the market is heading.</w:t>
      </w:r>
    </w:p>
    <w:p w:rsidR="00000000" w:rsidDel="00000000" w:rsidP="00000000" w:rsidRDefault="00000000" w:rsidRPr="00000000" w14:paraId="00000046">
      <w:pPr>
        <w:spacing w:after="240" w:before="240" w:lineRule="auto"/>
        <w:rPr/>
      </w:pPr>
      <w:r w:rsidDel="00000000" w:rsidR="00000000" w:rsidRPr="00000000">
        <w:rPr>
          <w:rtl w:val="0"/>
        </w:rPr>
        <w:t xml:space="preserve">Keep the name. Publish the reactive piece this week. That's the move.</w:t>
      </w:r>
    </w:p>
    <w:p w:rsidR="00000000" w:rsidDel="00000000" w:rsidP="00000000" w:rsidRDefault="00000000" w:rsidRPr="00000000" w14:paraId="0000004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