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</w:t>
      </w:r>
    </w:p>
    <w:p>
      <w:pPr>
        <w:pStyle w:val="Heading1"/>
      </w:pPr>
      <w:r>
        <w:t>Observed provenance composition is not sampling effort in presence-only species distribution models</w:t>
      </w:r>
    </w:p>
    <w:p>
      <w:r>
        <w:t>Arzaan Ul Mairaj</w:t>
      </w:r>
    </w:p>
    <w:p>
      <w:pPr>
        <w:pStyle w:val="Heading1"/>
      </w:pPr>
      <w:r>
        <w:t>S1. Purpose and contents</w:t>
      </w:r>
    </w:p>
    <w:p>
      <w:r>
        <w:t>This supplement records the prespecified design, complete primary contrasts, mechanistic diagnostics, flexible-feature gate, empirical sensitivity specifications, and reproducibility manifest. Machine-readable versions of all tables accompany the submission.</w:t>
      </w:r>
    </w:p>
    <w:p>
      <w:pPr>
        <w:pStyle w:val="Heading1"/>
      </w:pPr>
      <w:r>
        <w:t>S2. Simulation design</w:t>
      </w:r>
    </w:p>
    <w:p>
      <w:r>
        <w:t>The primary experiment contained 200 species, three replicated communities, 10 taxonomic groups, six observation programmes, three taxon-programme alignment levels, two sampling-bias strengths, and four background arms. This yielded 14,400 planned and completed fits. Every scenario contained 600 paired community-species units. A further 3,600 fits evaluated the latent-mixture diagnostic.</w:t>
      </w:r>
    </w:p>
    <w:p>
      <w:pPr>
        <w:pStyle w:val="Heading2"/>
      </w:pPr>
      <w:r>
        <w:t>Table S1. Simulation design and audit identity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6E6E6"/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b/>
                <w:sz w:val="16"/>
              </w:rPr>
              <w:t>Component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6E6E6"/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b/>
                <w:sz w:val="16"/>
              </w:rPr>
              <w:t>Value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Virtual species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200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Replicated communities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3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Taxonomic groups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10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Observation programmes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6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Alignment levels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3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Bias levels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2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Background arms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4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Primary fits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14,400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Latent-mixture diagnostic fits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3,600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Requested background cells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500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Minimum background cells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50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Bootstrap draws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2,000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Seed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20260730</w:t>
            </w:r>
          </w:p>
        </w:tc>
      </w:tr>
    </w:tbl>
    <w:p>
      <w:pPr>
        <w:spacing w:after="0"/>
      </w:pPr>
    </w:p>
    <w:p>
      <w:pPr>
        <w:pStyle w:val="Heading1"/>
      </w:pPr>
      <w:r>
        <w:t>S3. Primary suitability-rank contrasts</w:t>
      </w:r>
    </w:p>
    <w:p>
      <w:r>
        <w:t>Positive values favour PM-TGB. Values are mean paired differences with 95% community-species hierarchical bootstrap intervals.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6E6E6"/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b/>
                <w:sz w:val="16"/>
              </w:rPr>
              <w:t>Alignment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6E6E6"/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b/>
                <w:sz w:val="16"/>
              </w:rPr>
              <w:t>Bias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6E6E6"/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b/>
                <w:sz w:val="16"/>
              </w:rPr>
              <w:t>PM-TGB minus conventional TGB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6E6E6"/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b/>
                <w:sz w:val="16"/>
              </w:rPr>
              <w:t>Pairs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Moderate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-0.0025 [-0.0052, 0.0007]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600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Strong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-0.0051 [-0.0104, -0.0007]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600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Low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Moderate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-0.0001 [-0.0043, 0.0043]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600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Low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Strong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-0.0024 [-0.0085, 0.0043]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600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Moderate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0.0011 [-0.0048, 0.0076]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600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Strong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-0.0056 [-0.0110, -0.0008]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600</w:t>
            </w:r>
          </w:p>
        </w:tc>
      </w:tr>
    </w:tbl>
    <w:p>
      <w:pPr>
        <w:spacing w:after="0"/>
      </w:pPr>
    </w:p>
    <w:p>
      <w:pPr>
        <w:jc w:val="left"/>
      </w:pPr>
      <w:r>
        <w:t xml:space="preserve">The complete 30-row table for all five metrics is supplied as </w:t>
      </w:r>
      <w:r>
        <w:rPr>
          <w:rFonts w:ascii="Courier New" w:hAnsi="Courier New"/>
          <w:sz w:val="18"/>
        </w:rPr>
        <w:t>table_2_primary_effects.csv</w:t>
      </w:r>
      <w:r>
        <w:t>.</w:t>
      </w:r>
    </w:p>
    <w:p>
      <w:pPr>
        <w:pStyle w:val="Heading1"/>
      </w:pPr>
      <w:r>
        <w:t>S4. Mechanistic estimands</w:t>
      </w:r>
    </w:p>
    <w:p>
      <w:r>
        <w:t>For focal species f, programme s, and cell x, latent programme allocation was m_f(s), effort was e_s(x), and ecological intensity was λ_f(x). Expected source composition was</w:t>
      </w:r>
    </w:p>
    <w:p>
      <w:pPr>
        <w:keepLines/>
        <w:jc w:val="center"/>
      </w:pPr>
      <w:r>
        <w:rPr>
          <w:rFonts w:ascii="Cambria Math" w:hAnsi="Cambria Math"/>
          <w:i/>
          <w:sz w:val="20"/>
        </w:rPr>
        <w:t>q_f(s) = [m_f(s) Σ_x e_s(x) λ_f(x)] / [Σ_r m_f(r) Σ_x e_r(x) λ_f(x)].</w:t>
      </w:r>
    </w:p>
    <w:p>
      <w:r>
        <w:t>Realised empirical composition p_f(s) was calculated from finite simulated records. The diagnostics were:</w:t>
      </w:r>
    </w:p>
    <w:p>
      <w:pPr>
        <w:pStyle w:val="ListBullet"/>
        <w:spacing w:line="360" w:lineRule="auto"/>
      </w:pPr>
      <w:r>
        <w:t>ecological-overlap distortion: TV(q_f,m_f);</w:t>
      </w:r>
    </w:p>
    <w:p>
      <w:pPr>
        <w:pStyle w:val="ListBullet"/>
        <w:spacing w:line="360" w:lineRule="auto"/>
      </w:pPr>
      <w:r>
        <w:t>finite-record distortion: TV(p_f,q_f);</w:t>
      </w:r>
    </w:p>
    <w:p>
      <w:pPr>
        <w:pStyle w:val="ListBullet"/>
        <w:spacing w:line="360" w:lineRule="auto"/>
      </w:pPr>
      <w:r>
        <w:t>total distortion: TV(p_f,m_f).</w:t>
      </w:r>
    </w:p>
    <w:p>
      <w:r>
        <w:t>For suitability-rank effects, within-scenario Spearman correlations between ecological-overlap distortion and oriented PM-TGB performance ranged from -0.060 to 0.079. Every hierarchical-bootstrap interval included zero.</w:t>
      </w:r>
    </w:p>
    <w:p>
      <w:pPr>
        <w:pStyle w:val="Heading1"/>
      </w:pPr>
      <w:r>
        <w:t>S5. Latent-mixture diagnostic</w:t>
      </w:r>
    </w:p>
    <w:p>
      <w:pPr>
        <w:pStyle w:val="Heading2"/>
      </w:pPr>
      <w:r>
        <w:t>Table S2. Suitability-rank contrasts for latent programme allocation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6E6E6"/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b/>
                <w:sz w:val="16"/>
              </w:rPr>
              <w:t>Alignment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6E6E6"/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b/>
                <w:sz w:val="16"/>
              </w:rPr>
              <w:t>Bias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6E6E6"/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b/>
                <w:sz w:val="16"/>
              </w:rPr>
              <w:t>Versus conventional TGB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6E6E6"/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b/>
                <w:sz w:val="16"/>
              </w:rPr>
              <w:t>Versus observed PM-TGB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Moderate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-0.0004 [-0.0029, 0.0021]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0.0021 [-0.0009, 0.0050]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Strong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0.0033 [-0.0012, 0.0079]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0.0084 [0.0029, 0.0148]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Low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Moderate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0.0005 [-0.0035, 0.0050]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0.0006 [-0.0019, 0.0032]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Low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Strong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0.0053 [-0.0001, 0.0115]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0.0077 [0.0043, 0.0111]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Moderate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0.0015 [-0.0032, 0.0062]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0.0004 [-0.0026, 0.0030]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Strong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0.0041 [0.0012, 0.0069]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0.0097 [0.0054, 0.0146]</w:t>
            </w:r>
          </w:p>
        </w:tc>
      </w:tr>
    </w:tbl>
    <w:p>
      <w:pPr>
        <w:spacing w:after="0"/>
      </w:pPr>
    </w:p>
    <w:p>
      <w:pPr>
        <w:jc w:val="left"/>
      </w:pPr>
      <w:r>
        <w:t xml:space="preserve">The full mechanism table contains 90 rows covering five metrics, six scenarios, one distortion association, and two diagnostic contrasts. It is supplied as </w:t>
      </w:r>
      <w:r>
        <w:rPr>
          <w:rFonts w:ascii="Courier New" w:hAnsi="Courier New"/>
          <w:sz w:val="18"/>
        </w:rPr>
        <w:t>table_5_mechanism.csv</w:t>
      </w:r>
      <w:r>
        <w:t>.</w:t>
      </w:r>
    </w:p>
    <w:p>
      <w:pPr>
        <w:pStyle w:val="Heading1"/>
      </w:pPr>
      <w:r>
        <w:t>S6. Flexible-feature gate</w:t>
      </w:r>
    </w:p>
    <w:p>
      <w:pPr>
        <w:jc w:val="left"/>
      </w:pPr>
      <w:r>
        <w:t xml:space="preserve">The result-blind pilot tested L2 regularisation values 2, 5, and 10 in 1,800 model fits, 600 per candidate. The inclusion rule required a candidate to pass every convergence and prediction-stability check. No candidate passed every check. Under the prespecified rule, the full flexible-feature sensitivity run was excluded and no effect estimate was produced. The gate result is supplied in </w:t>
      </w:r>
      <w:r>
        <w:rPr>
          <w:rFonts w:ascii="Courier New" w:hAnsi="Courier New"/>
          <w:sz w:val="18"/>
        </w:rPr>
        <w:t>flexible_gate.json</w:t>
      </w:r>
      <w:r>
        <w:t xml:space="preserve">, and Table S3 is supplied as </w:t>
      </w:r>
      <w:r>
        <w:rPr>
          <w:rFonts w:ascii="Courier New" w:hAnsi="Courier New"/>
          <w:sz w:val="18"/>
        </w:rPr>
        <w:t>table_6_flexible_sensitivity.csv</w:t>
      </w:r>
      <w:r>
        <w:t>.</w:t>
      </w:r>
    </w:p>
    <w:p>
      <w:pPr>
        <w:pStyle w:val="Heading1"/>
      </w:pPr>
      <w:r>
        <w:t>S7. GBIF occurrence cleaning</w:t>
      </w:r>
    </w:p>
    <w:p>
      <w:r>
        <w:t>The GBIF archive contained 205,532 records. Taxon filtering removed 160 records; deduplication removed 28,636; and intersection with valid predictor cells removed 483. The final dataset contained 176,253 records, all with dataset and publisher identifiers. Duplicates shared taxon key, 1-km cell, event date, and dataset key.</w:t>
      </w:r>
    </w:p>
    <w:p>
      <w:pPr>
        <w:pStyle w:val="Heading2"/>
      </w:pPr>
      <w:r>
        <w:t>Table S3. Primary empirical results at dataset-key provenance and 50-km blocks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6E6E6"/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b/>
                <w:sz w:val="16"/>
              </w:rPr>
              <w:t>Focal species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6E6E6"/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b/>
                <w:sz w:val="16"/>
              </w:rPr>
              <w:t>Background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6E6E6"/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b/>
                <w:sz w:val="16"/>
              </w:rPr>
              <w:t>Mean AUC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6E6E6"/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b/>
                <w:sz w:val="16"/>
              </w:rPr>
              <w:t>Mean Boyce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6E6E6"/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b/>
                <w:sz w:val="16"/>
              </w:rPr>
              <w:t>Centroid shift from conventional TGB (km)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Brown hare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Conventional TGB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0.534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0.273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Brown hare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PM-TGB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0.536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0.297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16.1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Brown hare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Uniform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0.614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0.688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193.5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European hedgehog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Conventional TGB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0.658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0.901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European hedgehog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PM-TGB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0.661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0.884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64.9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European hedgehog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Uniform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0.714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0.915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133.6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Hazel dormouse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Conventional TGB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0.656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0.874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Hazel dormouse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PM-TGB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0.659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0.903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9.5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Hazel dormouse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Uniform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0.695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0.897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94.8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Red squirrel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Conventional TGB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0.648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0.656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Red squirrel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PM-TGB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0.649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0.690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7.9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Red squirrel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Arial" w:hAnsi="Arial"/>
                <w:sz w:val="16"/>
              </w:rPr>
              <w:t>Uniform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0.706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0.932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right"/>
            </w:pPr>
            <w:r>
              <w:rPr>
                <w:rFonts w:ascii="Arial" w:hAnsi="Arial"/>
                <w:sz w:val="16"/>
              </w:rPr>
              <w:t>263.1</w:t>
            </w:r>
          </w:p>
        </w:tc>
      </w:tr>
    </w:tbl>
    <w:p>
      <w:pPr>
        <w:spacing w:after="0"/>
      </w:pPr>
    </w:p>
    <w:p>
      <w:pPr>
        <w:jc w:val="left"/>
      </w:pPr>
      <w:r>
        <w:t xml:space="preserve">Results for both provenance levels and all block widths are supplied as </w:t>
      </w:r>
      <w:r>
        <w:rPr>
          <w:rFonts w:ascii="Courier New" w:hAnsi="Courier New"/>
          <w:sz w:val="18"/>
        </w:rPr>
        <w:t>table_3_empirical_composition_metrics.csv</w:t>
      </w:r>
      <w:r>
        <w:t>.</w:t>
      </w:r>
    </w:p>
    <w:p>
      <w:pPr>
        <w:pStyle w:val="Heading1"/>
      </w:pPr>
      <w:r>
        <w:t>S8. Reproducibility manifest</w:t>
      </w:r>
    </w:p>
    <w:p>
      <w:pPr>
        <w:jc w:val="left"/>
      </w:pPr>
      <w:r>
        <w:t xml:space="preserve">The configuration hash is </w:t>
      </w:r>
      <w:r>
        <w:rPr>
          <w:rFonts w:ascii="Courier New" w:hAnsi="Courier New"/>
          <w:sz w:val="18"/>
        </w:rPr>
        <w:t>6231cb729d98622e7127d0fa7165fe6da91f36b188bcad8ecebf601f7ffaaad3</w:t>
      </w:r>
      <w:r>
        <w:t xml:space="preserve">. The primary simulation-metrics SHA-256 hash is </w:t>
      </w:r>
      <w:r>
        <w:rPr>
          <w:rFonts w:ascii="Courier New" w:hAnsi="Courier New"/>
          <w:sz w:val="18"/>
        </w:rPr>
        <w:t>6eeaa114817aaf723b1dd0ce21f21fa1f694d4aa47eefb4d4dea16e87b01d1fb</w:t>
      </w:r>
      <w:r>
        <w:t xml:space="preserve">; the empirical-metrics hash is </w:t>
      </w:r>
      <w:r>
        <w:rPr>
          <w:rFonts w:ascii="Courier New" w:hAnsi="Courier New"/>
          <w:sz w:val="18"/>
        </w:rPr>
        <w:t>94128f5fee5bf645296c5a95e149d05fb453c96256353a8dd9b5b1508b3c9438</w:t>
      </w:r>
      <w:r>
        <w:t xml:space="preserve">. The complete manifest is supplied as </w:t>
      </w:r>
      <w:r>
        <w:rPr>
          <w:rFonts w:ascii="Courier New" w:hAnsi="Courier New"/>
          <w:sz w:val="18"/>
        </w:rPr>
        <w:t>table_4_reproducibility_manifest.csv</w:t>
      </w:r>
      <w:r>
        <w:t>. The fail-closed audit checks expected sample counts, duplicated keys, missing scenarios, prediction stability, convergence, spatial-fold artefacts, and the prespecified feature basis.</w:t>
      </w:r>
    </w:p>
    <w:sectPr w:rsidR="00FC693F" w:rsidRPr="0006063C" w:rsidSect="00034616">
      <w:footerReference w:type="default" r:id="rId9"/>
      <w:pgSz w:w="11906" w:h="16838"/>
      <w:pgMar w:top="1332" w:right="1417" w:bottom="1332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40"/>
      <w:contextualSpacing/>
      <w:jc w:val="center"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after="120"/>
      <w:jc w:val="left"/>
    </w:pPr>
    <w:rPr>
      <w:rFonts w:ascii="Times New Roman" w:hAnsi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