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360"/>
        <w:jc w:val="left"/>
      </w:pPr>
      <w:r>
        <w:t>31 August 2026</w:t>
      </w:r>
    </w:p>
    <w:p>
      <w:pPr>
        <w:spacing w:line="276" w:lineRule="auto" w:after="160"/>
        <w:jc w:val="left"/>
      </w:pPr>
      <w:r>
        <w:t>Editor-in-Chief</w:t>
      </w:r>
    </w:p>
    <w:p>
      <w:pPr>
        <w:spacing w:line="276" w:lineRule="auto" w:after="160"/>
        <w:jc w:val="left"/>
      </w:pPr>
      <w:r>
        <w:rPr>
          <w:i/>
        </w:rPr>
        <w:t>Journal of Biogeography</w:t>
      </w:r>
    </w:p>
    <w:p>
      <w:pPr>
        <w:spacing w:line="276" w:lineRule="auto" w:after="160"/>
        <w:jc w:val="left"/>
      </w:pPr>
      <w:r>
        <w:t>Dear Editor,</w:t>
      </w:r>
    </w:p>
    <w:p>
      <w:pPr>
        <w:spacing w:line="276" w:lineRule="auto" w:after="160"/>
        <w:jc w:val="left"/>
      </w:pPr>
      <w:r>
        <w:t xml:space="preserve">Please consider the manuscript, "Observed provenance composition is not sampling effort in presence-only species distribution models," for publication in the </w:t>
      </w:r>
      <w:r>
        <w:rPr>
          <w:i/>
        </w:rPr>
        <w:t>Journal of Biogeography</w:t>
      </w:r>
      <w:r>
        <w:t>.</w:t>
      </w:r>
    </w:p>
    <w:p>
      <w:pPr>
        <w:spacing w:line="276" w:lineRule="auto" w:after="160"/>
        <w:jc w:val="left"/>
      </w:pPr>
      <w:r>
        <w:t>The manuscript addresses a central problem in biogeographical inference from opportunistic occurrence records: whether provenance labels can identify sampling effort sufficiently to improve presence-only estimates of species distributions. When records retain dataset or programme labels, analysts can reweight target-group records to match the focal species' observed source composition. This appears to make the background more representative of sampling effort. Our controlled experiment shows why that interpretation fails: a source's observed share depends jointly on programme allocation, spatial effort, and overlap with the species' ecological intensity.</w:t>
      </w:r>
    </w:p>
    <w:p>
      <w:pPr>
        <w:spacing w:line="276" w:lineRule="auto" w:after="160"/>
        <w:jc w:val="left"/>
      </w:pPr>
      <w:r>
        <w:t>The study combines 14,400 paired virtual-species model fits, a known-process decomposition of source composition, a further 3,600 latent-allocation diagnostic fits, and an empirical demonstration using 176,253 cleaned GBIF records for four British mammals. Observed provenance matching gave no general improvement over conventional target-group backgrounds. When the unobservable latent allocation was supplied instead, performance improved under strong spatial bias. This result defines both the limitation and the information needed to overcome it.</w:t>
      </w:r>
    </w:p>
    <w:p>
      <w:pPr>
        <w:spacing w:line="276" w:lineRule="auto" w:after="160"/>
        <w:jc w:val="left"/>
      </w:pPr>
      <w:r>
        <w:t xml:space="preserve">The work fits the </w:t>
      </w:r>
      <w:r>
        <w:rPr>
          <w:i/>
        </w:rPr>
        <w:t>Journal of Biogeography</w:t>
      </w:r>
      <w:r>
        <w:t xml:space="preserve"> because it tests how observation processes affect geographic inference from biodiversity records. It uses virtual species to establish known ecological truth, isolates the role of background selection, and then demonstrates the practical consequence using a multi-source GBIF archive for four British mammals. The result is a clear inference constraint: provenance can expose heterogeneous data-generating processes, but observed source shares cannot be interpreted as survey allocation without metadata on visits, protocols, or detection.</w:t>
      </w:r>
    </w:p>
    <w:p>
      <w:pPr>
        <w:spacing w:line="276" w:lineRule="auto" w:after="160"/>
        <w:jc w:val="left"/>
      </w:pPr>
      <w:r>
        <w:t>This manuscript is original, is not under consideration elsewhere, and has one author. No competing interests exist. The GBIF archive has a persistent DOI, and the code, configuration, audit manifests, figures, and tables are available on a dedicated public repository branch and in a versioned Zenodo archive at https://doi.org/10.5281/zenodo.22212572.</w:t>
      </w:r>
    </w:p>
    <w:p>
      <w:pPr>
        <w:spacing w:line="276" w:lineRule="auto" w:after="160"/>
        <w:jc w:val="left"/>
      </w:pPr>
      <w:r>
        <w:t>Thank you for considering the manuscript.</w:t>
      </w:r>
    </w:p>
    <w:p>
      <w:pPr>
        <w:spacing w:line="276" w:lineRule="auto" w:after="160"/>
        <w:jc w:val="left"/>
      </w:pPr>
      <w:r>
        <w:t>Yours sincerely,</w:t>
      </w:r>
    </w:p>
    <w:p>
      <w:pPr>
        <w:spacing w:line="276" w:lineRule="auto" w:after="160"/>
        <w:jc w:val="left"/>
      </w:pPr>
      <w:r>
        <w:t>Arzaan Ul Mairaj</w:t>
      </w:r>
    </w:p>
    <w:p>
      <w:pPr>
        <w:spacing w:line="276" w:lineRule="auto" w:after="160"/>
        <w:jc w:val="left"/>
      </w:pPr>
      <w:r>
        <w:t>Independent researcher, Birmingham, B1 1BA, United Kingdom</w:t>
      </w:r>
    </w:p>
    <w:p>
      <w:pPr>
        <w:spacing w:line="276" w:lineRule="auto" w:after="160"/>
        <w:jc w:val="left"/>
      </w:pPr>
      <w:r>
        <w:t>arzaaan789@gmail.com</w:t>
      </w:r>
    </w:p>
    <w:sectPr w:rsidR="00FC693F" w:rsidRPr="0006063C" w:rsidSect="00034616">
      <w:footerReference w:type="default" r:id="rId9"/>
      <w:pgSz w:w="12240" w:h="15840"/>
      <w:pgMar w:top="1332" w:right="1417" w:bottom="1332"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240"/>
      <w:contextualSpacing/>
      <w:jc w:val="center"/>
    </w:pPr>
    <w:rPr>
      <w:rFonts w:asciiTheme="majorHAnsi" w:eastAsiaTheme="majorEastAsia" w:hAnsiTheme="majorHAnsi" w:cstheme="majorBidi" w:ascii="Arial" w:hAnsi="Arial"/>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after="120"/>
      <w:jc w:val="left"/>
    </w:pPr>
    <w:rPr>
      <w:rFonts w:ascii="Times New Roman" w:hAnsi="Times New Roman"/>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